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7223C499"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0B70CA">
        <w:rPr>
          <w:rFonts w:cs="Arial"/>
          <w:b/>
          <w:sz w:val="24"/>
          <w:szCs w:val="24"/>
        </w:rPr>
        <w:t>7</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20</w:t>
      </w:r>
      <w:r w:rsidR="006D00AC">
        <w:rPr>
          <w:rFonts w:cs="Arial"/>
          <w:b/>
          <w:sz w:val="24"/>
          <w:szCs w:val="24"/>
        </w:rPr>
        <w:t>14508</w:t>
      </w:r>
    </w:p>
    <w:p w14:paraId="31DCE6A5" w14:textId="427D4B74"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0B70CA">
        <w:rPr>
          <w:b/>
          <w:sz w:val="24"/>
          <w:szCs w:val="24"/>
          <w:lang w:eastAsia="zh-CN"/>
        </w:rPr>
        <w:t>2-13 Nov</w:t>
      </w:r>
      <w:r w:rsidR="00ED034D" w:rsidRPr="00BF1228">
        <w:rPr>
          <w:b/>
          <w:sz w:val="24"/>
          <w:szCs w:val="24"/>
          <w:lang w:eastAsia="zh-CN"/>
        </w:rPr>
        <w:t>., 2020</w:t>
      </w:r>
    </w:p>
    <w:p w14:paraId="70A7F93A" w14:textId="77777777" w:rsidR="007B1E88" w:rsidRDefault="007B1E88" w:rsidP="00BB40EC">
      <w:pPr>
        <w:tabs>
          <w:tab w:val="left" w:pos="1985"/>
        </w:tabs>
        <w:spacing w:after="0"/>
        <w:jc w:val="both"/>
        <w:rPr>
          <w:rFonts w:ascii="Arial" w:hAnsi="Arial" w:cs="Arial"/>
          <w:b/>
          <w:sz w:val="22"/>
        </w:rPr>
      </w:pPr>
    </w:p>
    <w:p w14:paraId="0A0D91D2" w14:textId="770E26C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r w:rsidR="00AD33A9">
        <w:rPr>
          <w:rFonts w:ascii="Arial" w:hAnsi="Arial" w:cs="Arial"/>
          <w:sz w:val="22"/>
        </w:rPr>
        <w:t>, Apple Inc.</w:t>
      </w:r>
    </w:p>
    <w:p w14:paraId="459FE5E1" w14:textId="4B397DC8"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4513C" w:rsidRPr="0054513C">
        <w:rPr>
          <w:rFonts w:cs="Arial"/>
          <w:sz w:val="22"/>
        </w:rPr>
        <w:t>PC2 UL CA Class B</w:t>
      </w:r>
      <w:r w:rsidR="006D00AC">
        <w:rPr>
          <w:rFonts w:cs="Arial"/>
          <w:sz w:val="22"/>
        </w:rPr>
        <w:t>/</w:t>
      </w:r>
      <w:r w:rsidR="0054513C" w:rsidRPr="0054513C">
        <w:rPr>
          <w:rFonts w:cs="Arial"/>
          <w:sz w:val="22"/>
        </w:rPr>
        <w:t>C UE Architecture and MPR</w:t>
      </w:r>
      <w:r w:rsidR="006D00AC">
        <w:rPr>
          <w:rFonts w:cs="Arial"/>
          <w:sz w:val="22"/>
        </w:rPr>
        <w:t>/</w:t>
      </w:r>
      <w:r w:rsidR="0054513C" w:rsidRPr="0054513C">
        <w:rPr>
          <w:rFonts w:cs="Arial"/>
          <w:sz w:val="22"/>
        </w:rPr>
        <w:t>A-MPR</w:t>
      </w:r>
      <w:r w:rsidR="006D00AC">
        <w:rPr>
          <w:rFonts w:cs="Arial"/>
          <w:sz w:val="22"/>
        </w:rPr>
        <w:t xml:space="preserve"> evaluation</w:t>
      </w:r>
    </w:p>
    <w:p w14:paraId="73BCD5A1" w14:textId="2664827B"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54513C" w:rsidRPr="0054513C">
        <w:rPr>
          <w:rFonts w:ascii="Arial" w:hAnsi="Arial" w:cs="Arial"/>
          <w:sz w:val="22"/>
        </w:rPr>
        <w:t>12.2.2.4 HPUE for TDD intra-band contig</w:t>
      </w:r>
      <w:r w:rsidR="006D00AC">
        <w:rPr>
          <w:rFonts w:ascii="Arial" w:hAnsi="Arial" w:cs="Arial"/>
          <w:sz w:val="22"/>
        </w:rPr>
        <w:t>uous UL CA [NR_RF_FR1_enh</w:t>
      </w:r>
      <w:r w:rsidR="0054513C">
        <w:rPr>
          <w:rFonts w:ascii="Arial" w:hAnsi="Arial" w:cs="Arial"/>
          <w:sz w:val="22"/>
        </w:rPr>
        <w:t>-Core</w:t>
      </w:r>
      <w:r w:rsidR="00850162" w:rsidRPr="00850162">
        <w:rPr>
          <w:rFonts w:ascii="Arial" w:hAnsi="Arial" w:cs="Arial"/>
          <w:sz w:val="22"/>
        </w:rPr>
        <w:t>]</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1B228B70"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9B06A5">
        <w:rPr>
          <w:rFonts w:eastAsia="SimSun"/>
          <w:lang w:eastAsia="zh-CN"/>
        </w:rPr>
        <w:t xml:space="preserve">the </w:t>
      </w:r>
      <w:r>
        <w:rPr>
          <w:rFonts w:eastAsia="SimSun"/>
          <w:lang w:eastAsia="zh-CN"/>
        </w:rPr>
        <w:t>RAN</w:t>
      </w:r>
      <w:r w:rsidR="00154E81">
        <w:rPr>
          <w:rFonts w:eastAsia="SimSun"/>
          <w:lang w:eastAsia="zh-CN"/>
        </w:rPr>
        <w:t>#</w:t>
      </w:r>
      <w:r w:rsidR="004B7A6F">
        <w:rPr>
          <w:rFonts w:eastAsia="SimSun"/>
          <w:lang w:eastAsia="zh-CN"/>
        </w:rPr>
        <w:t>89</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 xml:space="preserve">meeting </w:t>
      </w:r>
      <w:r w:rsidR="004B7A6F">
        <w:rPr>
          <w:rFonts w:eastAsia="SimSun"/>
          <w:lang w:eastAsia="zh-CN"/>
        </w:rPr>
        <w:t>a</w:t>
      </w:r>
      <w:r w:rsidR="006D00AC">
        <w:rPr>
          <w:rFonts w:eastAsia="SimSun"/>
          <w:lang w:eastAsia="zh-CN"/>
        </w:rPr>
        <w:t xml:space="preserve"> </w:t>
      </w:r>
      <w:r w:rsidR="00A90B67">
        <w:rPr>
          <w:rFonts w:eastAsia="SimSun"/>
          <w:lang w:eastAsia="zh-CN"/>
        </w:rPr>
        <w:t>R</w:t>
      </w:r>
      <w:r w:rsidR="006D00AC">
        <w:rPr>
          <w:rFonts w:eastAsia="SimSun"/>
          <w:lang w:eastAsia="zh-CN"/>
        </w:rPr>
        <w:t>elease 17</w:t>
      </w:r>
      <w:r w:rsidR="004B7A6F">
        <w:rPr>
          <w:rFonts w:eastAsia="SimSun"/>
          <w:lang w:eastAsia="zh-CN"/>
        </w:rPr>
        <w:t xml:space="preserve"> </w:t>
      </w:r>
      <w:r w:rsidR="006D00AC">
        <w:rPr>
          <w:rFonts w:eastAsia="SimSun"/>
          <w:lang w:eastAsia="zh-CN"/>
        </w:rPr>
        <w:t>FR1 UE RF enhancement Work Item</w:t>
      </w:r>
      <w:r w:rsidR="004B7A6F">
        <w:rPr>
          <w:rFonts w:eastAsia="SimSun"/>
          <w:lang w:eastAsia="zh-CN"/>
        </w:rPr>
        <w:t xml:space="preserve"> [1] was approved to </w:t>
      </w:r>
      <w:r w:rsidR="006D00AC">
        <w:rPr>
          <w:rFonts w:eastAsia="SimSun"/>
          <w:lang w:eastAsia="zh-CN"/>
        </w:rPr>
        <w:t xml:space="preserve">complement </w:t>
      </w:r>
      <w:r w:rsidR="00A90B67">
        <w:rPr>
          <w:rFonts w:eastAsia="SimSun"/>
          <w:lang w:eastAsia="zh-CN"/>
        </w:rPr>
        <w:t>Release 16 PC3 NR U</w:t>
      </w:r>
      <w:r w:rsidR="006D00AC">
        <w:rPr>
          <w:rFonts w:eastAsia="SimSun"/>
          <w:lang w:eastAsia="zh-CN"/>
        </w:rPr>
        <w:t>L CA to cover PC2 HPUE for contiguous UL CA</w:t>
      </w:r>
      <w:r w:rsidR="001B39A7">
        <w:rPr>
          <w:rFonts w:eastAsia="SimSun"/>
          <w:lang w:eastAsia="zh-CN"/>
        </w:rPr>
        <w:t>.</w:t>
      </w:r>
      <w:r w:rsidR="004B7A6F">
        <w:rPr>
          <w:rFonts w:eastAsia="SimSun"/>
          <w:lang w:eastAsia="zh-CN"/>
        </w:rPr>
        <w:t xml:space="preserve"> This contribution discusses the</w:t>
      </w:r>
      <w:r w:rsidR="006D00AC">
        <w:rPr>
          <w:rFonts w:eastAsia="SimSun"/>
          <w:lang w:eastAsia="zh-CN"/>
        </w:rPr>
        <w:t xml:space="preserve"> transmitter architecture options and related preliminary MPR and A-MPR results valid for PC2 PA in class B and C UL CA</w:t>
      </w:r>
      <w:r w:rsidR="004B7A6F">
        <w:rPr>
          <w:rFonts w:eastAsia="SimSun"/>
          <w:lang w:eastAsia="zh-CN"/>
        </w:rPr>
        <w:t>.</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76ABA1AD" w14:textId="713FFC98" w:rsidR="00B75843" w:rsidRPr="00B75843" w:rsidRDefault="004B7A6F" w:rsidP="0031291F">
      <w:pPr>
        <w:overflowPunct/>
        <w:autoSpaceDE/>
        <w:autoSpaceDN/>
        <w:spacing w:after="0"/>
        <w:textAlignment w:val="auto"/>
        <w:rPr>
          <w:rFonts w:eastAsia="SimSun"/>
          <w:lang w:eastAsia="zh-CN"/>
        </w:rPr>
      </w:pPr>
      <w:r>
        <w:rPr>
          <w:rFonts w:eastAsia="SimSun"/>
          <w:lang w:eastAsia="zh-CN"/>
        </w:rPr>
        <w:t xml:space="preserve">The </w:t>
      </w:r>
      <w:r w:rsidR="00235E22">
        <w:rPr>
          <w:rFonts w:eastAsia="SimSun"/>
          <w:lang w:eastAsia="zh-CN"/>
        </w:rPr>
        <w:t xml:space="preserve">Work Item for [1] </w:t>
      </w:r>
      <w:r w:rsidR="0031291F">
        <w:rPr>
          <w:rFonts w:eastAsia="SimSun"/>
          <w:lang w:eastAsia="zh-CN"/>
        </w:rPr>
        <w:t xml:space="preserve">HPUE targets 26dBm PC2 intra-band contiguous UL CA. It uses </w:t>
      </w:r>
      <w:r w:rsidR="0031291F">
        <w:rPr>
          <w:rFonts w:eastAsia="DengXian" w:hint="eastAsia"/>
          <w:lang w:eastAsia="zh-CN"/>
        </w:rPr>
        <w:t>C</w:t>
      </w:r>
      <w:r w:rsidR="0031291F">
        <w:rPr>
          <w:rFonts w:eastAsia="DengXian"/>
          <w:lang w:eastAsia="zh-CN"/>
        </w:rPr>
        <w:t>A_n41C, CA_n78C as the ex</w:t>
      </w:r>
      <w:r w:rsidR="00A90B67">
        <w:rPr>
          <w:rFonts w:eastAsia="DengXian"/>
          <w:lang w:eastAsia="zh-CN"/>
        </w:rPr>
        <w:t>e</w:t>
      </w:r>
      <w:r w:rsidR="0031291F">
        <w:rPr>
          <w:rFonts w:eastAsia="DengXian"/>
          <w:lang w:eastAsia="zh-CN"/>
        </w:rPr>
        <w:t>mpl</w:t>
      </w:r>
      <w:r w:rsidR="00A90B67">
        <w:rPr>
          <w:rFonts w:eastAsia="DengXian"/>
          <w:lang w:eastAsia="zh-CN"/>
        </w:rPr>
        <w:t>ary</w:t>
      </w:r>
      <w:r w:rsidR="0031291F">
        <w:rPr>
          <w:rFonts w:eastAsia="DengXian"/>
          <w:lang w:eastAsia="zh-CN"/>
        </w:rPr>
        <w:t xml:space="preserve"> combinations to develop the general specification (MPR/NS_01) and NS_04 A-MPR should </w:t>
      </w:r>
      <w:r w:rsidR="002F4D0F">
        <w:rPr>
          <w:rFonts w:eastAsia="DengXian"/>
          <w:lang w:eastAsia="zh-CN"/>
        </w:rPr>
        <w:t xml:space="preserve">be </w:t>
      </w:r>
      <w:r w:rsidR="0031291F">
        <w:rPr>
          <w:rFonts w:eastAsia="DengXian"/>
          <w:lang w:eastAsia="zh-CN"/>
        </w:rPr>
        <w:t>developed for n41C</w:t>
      </w:r>
      <w:r w:rsidR="00025D3C">
        <w:rPr>
          <w:rFonts w:eastAsia="DengXian"/>
          <w:lang w:eastAsia="zh-CN"/>
        </w:rPr>
        <w:t>.</w:t>
      </w:r>
    </w:p>
    <w:p w14:paraId="72C9AA29" w14:textId="7DBDD7C2" w:rsidR="00F64C67" w:rsidRDefault="0031291F" w:rsidP="00976A16">
      <w:pPr>
        <w:pStyle w:val="Heading2"/>
        <w:spacing w:after="240"/>
        <w:rPr>
          <w:sz w:val="36"/>
          <w:lang w:val="en-US"/>
        </w:rPr>
      </w:pPr>
      <w:r>
        <w:rPr>
          <w:sz w:val="36"/>
          <w:lang w:val="en-US"/>
        </w:rPr>
        <w:t>Implementation Options</w:t>
      </w:r>
    </w:p>
    <w:p w14:paraId="3DCC8A22" w14:textId="6DFA1A31" w:rsidR="00025D3C" w:rsidRDefault="00025D3C" w:rsidP="00025D3C">
      <w:pPr>
        <w:spacing w:after="0"/>
      </w:pPr>
      <w:r w:rsidRPr="00025D3C">
        <w:t xml:space="preserve">One aspect </w:t>
      </w:r>
      <w:r>
        <w:t xml:space="preserve">to be agreed is the baseline architecture assumption to develop the requirement for HPUE class C UL CA. </w:t>
      </w:r>
    </w:p>
    <w:p w14:paraId="1A13358D" w14:textId="77777777" w:rsidR="00025D3C" w:rsidRDefault="00025D3C" w:rsidP="00025D3C">
      <w:pPr>
        <w:spacing w:after="0"/>
      </w:pPr>
    </w:p>
    <w:p w14:paraId="57F111BE" w14:textId="1352B712" w:rsidR="001144A4" w:rsidRDefault="00025D3C" w:rsidP="00025D3C">
      <w:pPr>
        <w:spacing w:after="0"/>
      </w:pPr>
      <w:r>
        <w:t>For PC3 class C UL CA</w:t>
      </w:r>
      <w:r w:rsidR="00A90B67">
        <w:t>,</w:t>
      </w:r>
      <w:r>
        <w:t xml:space="preserve"> the baseline architecture is based on a single PA covering up to 200 MHz bandwidth, 2 PA solutions are allowed but only to achieve the larger bandwidth and thus require two PC3 PAs and shall meet the same MPR than the one PA case. Furthermore</w:t>
      </w:r>
      <w:r w:rsidR="002F4D0F">
        <w:t>,</w:t>
      </w:r>
      <w:r>
        <w:t xml:space="preserve"> this two PA option does not enable the support of UL CA and UL MIMO.</w:t>
      </w:r>
    </w:p>
    <w:p w14:paraId="6BB73B30" w14:textId="77777777" w:rsidR="00025D3C" w:rsidRDefault="00025D3C" w:rsidP="00025D3C">
      <w:pPr>
        <w:spacing w:after="0"/>
      </w:pPr>
    </w:p>
    <w:p w14:paraId="6F669626" w14:textId="65C777B1" w:rsidR="00025D3C" w:rsidRDefault="00025D3C" w:rsidP="00025D3C">
      <w:pPr>
        <w:spacing w:after="0"/>
      </w:pPr>
      <w:r>
        <w:t>For PC2</w:t>
      </w:r>
      <w:r w:rsidR="00A90B67">
        <w:t>,</w:t>
      </w:r>
      <w:r>
        <w:t xml:space="preserve"> the same approach is feasible as </w:t>
      </w:r>
      <w:r w:rsidR="00A90B67">
        <w:t>the</w:t>
      </w:r>
      <w:r>
        <w:t xml:space="preserve"> PC2 and PC3 PAs are based on a common technology and can support the full bandwidth</w:t>
      </w:r>
      <w:r w:rsidR="00A90B67">
        <w:t>.</w:t>
      </w:r>
      <w:r>
        <w:t xml:space="preserve"> </w:t>
      </w:r>
      <w:r w:rsidR="00A90B67">
        <w:t>W</w:t>
      </w:r>
      <w:r>
        <w:t>ith an additional PA</w:t>
      </w:r>
      <w:r w:rsidR="00A90B67">
        <w:t>,</w:t>
      </w:r>
      <w:r>
        <w:t xml:space="preserve"> UL MIMO can be supported.</w:t>
      </w:r>
    </w:p>
    <w:p w14:paraId="647A42C8" w14:textId="77777777" w:rsidR="00025D3C" w:rsidRDefault="00025D3C" w:rsidP="00025D3C">
      <w:pPr>
        <w:spacing w:after="0"/>
      </w:pPr>
    </w:p>
    <w:p w14:paraId="57C341E6" w14:textId="6027E518" w:rsidR="00A82A73" w:rsidRDefault="00025D3C" w:rsidP="00025D3C">
      <w:pPr>
        <w:spacing w:after="0"/>
      </w:pPr>
      <w:r>
        <w:t>For PC</w:t>
      </w:r>
      <w:r w:rsidR="00A82A73">
        <w:t>2</w:t>
      </w:r>
      <w:r>
        <w:t xml:space="preserve"> single carrier implementations</w:t>
      </w:r>
      <w:r w:rsidR="00A82A73">
        <w:t>,</w:t>
      </w:r>
      <w:r>
        <w:t xml:space="preserve"> </w:t>
      </w:r>
      <w:r w:rsidR="00A82A73">
        <w:t xml:space="preserve">using </w:t>
      </w:r>
      <w:r>
        <w:t xml:space="preserve">two PC3 PAs </w:t>
      </w:r>
      <w:r w:rsidR="00A82A73">
        <w:t>was</w:t>
      </w:r>
      <w:r>
        <w:t xml:space="preserve"> promoted for band</w:t>
      </w:r>
      <w:r w:rsidR="002F4D0F">
        <w:t>s</w:t>
      </w:r>
      <w:r>
        <w:t xml:space="preserve"> n41 and n78 for China while 1 PC2 PA is used for n41 in the U</w:t>
      </w:r>
      <w:r w:rsidR="002F4D0F">
        <w:t>.</w:t>
      </w:r>
      <w:r>
        <w:t>S</w:t>
      </w:r>
      <w:r w:rsidR="002F4D0F">
        <w:t>.</w:t>
      </w:r>
      <w:r w:rsidR="00A82A73">
        <w:t xml:space="preserve"> and is currently the baseline for the single CC PC2 MPR</w:t>
      </w:r>
      <w:r>
        <w:t xml:space="preserve">. </w:t>
      </w:r>
    </w:p>
    <w:p w14:paraId="13F8B830" w14:textId="77777777" w:rsidR="00A82A73" w:rsidRDefault="00A82A73" w:rsidP="00025D3C">
      <w:pPr>
        <w:spacing w:after="0"/>
      </w:pPr>
    </w:p>
    <w:p w14:paraId="7D2E19FC" w14:textId="5F3F4BB1" w:rsidR="00A82A73" w:rsidRDefault="00025D3C" w:rsidP="00025D3C">
      <w:pPr>
        <w:spacing w:after="0"/>
      </w:pPr>
      <w:r>
        <w:t>When comparing the two</w:t>
      </w:r>
      <w:r w:rsidR="00A90B67">
        <w:t xml:space="preserve"> options</w:t>
      </w:r>
      <w:r>
        <w:t xml:space="preserve">, the two PC3 PA approach result in higher MPR due to slightly lower linearity of each PA </w:t>
      </w:r>
      <w:r w:rsidR="00A82A73">
        <w:t>(30dB ACLR PA for a 31dB requirement for the combination) and additional non-linearity due to reverse IMD. At this stage</w:t>
      </w:r>
      <w:r w:rsidR="00A90B67">
        <w:t>,</w:t>
      </w:r>
      <w:r w:rsidR="00A82A73">
        <w:t xml:space="preserve"> the 2Tx PC2 MPR (Using TX diversity or UL MIMO) is still not finalized in </w:t>
      </w:r>
      <w:r w:rsidR="00A90B67">
        <w:t>R</w:t>
      </w:r>
      <w:r w:rsidR="00A82A73">
        <w:t>elease 16. This two PC3 PA approach will face further challenges with the forward IMD</w:t>
      </w:r>
      <w:r w:rsidR="00A90B67">
        <w:t>s</w:t>
      </w:r>
      <w:r w:rsidR="00A82A73">
        <w:t xml:space="preserve"> related to the 2CC 1RB+1RB cases and the larger bandwidth. </w:t>
      </w:r>
    </w:p>
    <w:p w14:paraId="7D0DDCAF" w14:textId="77777777" w:rsidR="00A82A73" w:rsidRDefault="00A82A73" w:rsidP="00025D3C">
      <w:pPr>
        <w:spacing w:after="0"/>
      </w:pPr>
    </w:p>
    <w:p w14:paraId="16563BCA" w14:textId="0C220DB9" w:rsidR="00A82A73" w:rsidRDefault="00A82A73" w:rsidP="00025D3C">
      <w:pPr>
        <w:spacing w:after="0"/>
      </w:pPr>
      <w:r>
        <w:t>Because of all these aspects, the single PC2 PA approach is the only mature solution to develop PC2 UL CA requirements.</w:t>
      </w:r>
    </w:p>
    <w:p w14:paraId="1175296F" w14:textId="77777777" w:rsidR="00A82A73" w:rsidRDefault="00A82A73" w:rsidP="00025D3C">
      <w:pPr>
        <w:spacing w:after="0"/>
      </w:pPr>
    </w:p>
    <w:p w14:paraId="3E676D57" w14:textId="04CF21D9" w:rsidR="00A82A73" w:rsidRDefault="00A82A73" w:rsidP="00A82A73">
      <w:pPr>
        <w:spacing w:after="0"/>
        <w:rPr>
          <w:b/>
        </w:rPr>
      </w:pPr>
      <w:r>
        <w:rPr>
          <w:b/>
        </w:rPr>
        <w:t>Proposal 1 on HPUE architecture for class C contiguous UL CA:</w:t>
      </w:r>
    </w:p>
    <w:p w14:paraId="76BD0BEA" w14:textId="45192C0E" w:rsidR="00A82A73" w:rsidRDefault="00A82A73" w:rsidP="00A82A73">
      <w:pPr>
        <w:pStyle w:val="ListParagraph"/>
        <w:numPr>
          <w:ilvl w:val="0"/>
          <w:numId w:val="26"/>
        </w:numPr>
        <w:spacing w:after="0"/>
        <w:rPr>
          <w:b/>
        </w:rPr>
      </w:pPr>
      <w:r>
        <w:rPr>
          <w:b/>
        </w:rPr>
        <w:t>A single TX PC2 PA is the baseline to develop requirement</w:t>
      </w:r>
    </w:p>
    <w:p w14:paraId="616A4656" w14:textId="32A800F9" w:rsidR="00A82A73" w:rsidRPr="00D62F14" w:rsidRDefault="006A386F" w:rsidP="00A82A73">
      <w:pPr>
        <w:pStyle w:val="ListParagraph"/>
        <w:numPr>
          <w:ilvl w:val="0"/>
          <w:numId w:val="26"/>
        </w:numPr>
        <w:spacing w:after="0"/>
        <w:rPr>
          <w:b/>
        </w:rPr>
      </w:pPr>
      <w:r>
        <w:rPr>
          <w:b/>
        </w:rPr>
        <w:t>A</w:t>
      </w:r>
      <w:r w:rsidR="00A82A73">
        <w:rPr>
          <w:b/>
        </w:rPr>
        <w:t xml:space="preserve">dditional requirement for </w:t>
      </w:r>
      <w:r>
        <w:rPr>
          <w:b/>
        </w:rPr>
        <w:t>two</w:t>
      </w:r>
      <w:r w:rsidR="00A82A73">
        <w:rPr>
          <w:b/>
        </w:rPr>
        <w:t xml:space="preserve"> PC3 PA</w:t>
      </w:r>
      <w:r>
        <w:rPr>
          <w:b/>
        </w:rPr>
        <w:t>s</w:t>
      </w:r>
      <w:r w:rsidR="00A82A73">
        <w:rPr>
          <w:b/>
        </w:rPr>
        <w:t xml:space="preserve"> architecture </w:t>
      </w:r>
      <w:r>
        <w:rPr>
          <w:b/>
        </w:rPr>
        <w:t xml:space="preserve">is FFS </w:t>
      </w:r>
      <w:r w:rsidR="00A82A73">
        <w:rPr>
          <w:b/>
        </w:rPr>
        <w:t>once single CC related requirements are finalized.</w:t>
      </w:r>
    </w:p>
    <w:p w14:paraId="774247E2" w14:textId="4019831A" w:rsidR="00327D10" w:rsidRDefault="00327D10" w:rsidP="00327D10">
      <w:pPr>
        <w:pStyle w:val="Heading2"/>
        <w:spacing w:after="240"/>
        <w:rPr>
          <w:sz w:val="36"/>
          <w:lang w:val="en-US"/>
        </w:rPr>
      </w:pPr>
      <w:r>
        <w:rPr>
          <w:sz w:val="36"/>
          <w:lang w:val="en-US"/>
        </w:rPr>
        <w:t>Power Class 2 PA Measurements</w:t>
      </w:r>
    </w:p>
    <w:p w14:paraId="685CA5C5" w14:textId="33C6C472" w:rsidR="00EF0A53" w:rsidRDefault="00327D10" w:rsidP="0009075D">
      <w:pPr>
        <w:spacing w:after="0"/>
        <w:rPr>
          <w:rFonts w:eastAsia="SimSun"/>
        </w:rPr>
      </w:pPr>
      <w:r w:rsidRPr="00327D10">
        <w:rPr>
          <w:rFonts w:eastAsia="SimSun"/>
        </w:rPr>
        <w:t xml:space="preserve">PC2 PA measurements </w:t>
      </w:r>
      <w:r w:rsidR="002F4D0F">
        <w:rPr>
          <w:rFonts w:eastAsia="SimSun"/>
        </w:rPr>
        <w:t>were</w:t>
      </w:r>
      <w:r w:rsidRPr="00327D10">
        <w:rPr>
          <w:rFonts w:eastAsia="SimSun"/>
        </w:rPr>
        <w:t xml:space="preserve"> performed using a band n41 PA calibrated according to </w:t>
      </w:r>
      <w:r w:rsidR="00A90B67">
        <w:rPr>
          <w:rFonts w:eastAsia="SimSun"/>
        </w:rPr>
        <w:t xml:space="preserve">the following </w:t>
      </w:r>
      <w:r>
        <w:rPr>
          <w:rFonts w:eastAsia="SimSun"/>
        </w:rPr>
        <w:t xml:space="preserve">3GPP </w:t>
      </w:r>
      <w:r w:rsidR="00A90B67">
        <w:rPr>
          <w:rFonts w:eastAsia="SimSun"/>
        </w:rPr>
        <w:t xml:space="preserve">RAN4 </w:t>
      </w:r>
      <w:r>
        <w:rPr>
          <w:rFonts w:eastAsia="SimSun"/>
        </w:rPr>
        <w:t>assumptions:</w:t>
      </w:r>
    </w:p>
    <w:p w14:paraId="59268141" w14:textId="3DEB0D94" w:rsidR="00327D10" w:rsidRDefault="00327D10" w:rsidP="00327D10">
      <w:pPr>
        <w:pStyle w:val="ListParagraph"/>
        <w:numPr>
          <w:ilvl w:val="0"/>
          <w:numId w:val="23"/>
        </w:numPr>
        <w:spacing w:after="0"/>
      </w:pPr>
      <w:r>
        <w:t>4dB post PA losses</w:t>
      </w:r>
    </w:p>
    <w:p w14:paraId="0ABE345A" w14:textId="36965206" w:rsidR="00327D10" w:rsidRDefault="00327D10" w:rsidP="00327D10">
      <w:pPr>
        <w:pStyle w:val="ListParagraph"/>
        <w:numPr>
          <w:ilvl w:val="0"/>
          <w:numId w:val="23"/>
        </w:numPr>
        <w:spacing w:after="0"/>
      </w:pPr>
      <w:r>
        <w:t>31dBc ACLR for 20 MHz QPSK DFT-s-OFDM 100RB0 waveform</w:t>
      </w:r>
    </w:p>
    <w:p w14:paraId="70BBFC78" w14:textId="77777777" w:rsidR="0031291F" w:rsidRDefault="0031291F" w:rsidP="0031291F">
      <w:pPr>
        <w:spacing w:after="0"/>
      </w:pPr>
    </w:p>
    <w:p w14:paraId="20F963A5" w14:textId="402AF1D2" w:rsidR="0031291F" w:rsidRDefault="0031291F" w:rsidP="0031291F">
      <w:r>
        <w:lastRenderedPageBreak/>
        <w:t xml:space="preserve">The ACLR targets are based on PC2 and </w:t>
      </w:r>
      <w:r w:rsidR="00A90B67">
        <w:t>therefore</w:t>
      </w:r>
      <w:r>
        <w:t xml:space="preserve"> ACLR for contiguous UL CA re-uses the related P</w:t>
      </w:r>
      <w:r w:rsidR="00A90B67">
        <w:t>C</w:t>
      </w:r>
      <w:r>
        <w:t xml:space="preserve">3 definition with a value of 31dB. The same SEM </w:t>
      </w:r>
      <w:r w:rsidR="00A90B67">
        <w:t>as with</w:t>
      </w:r>
      <w:r>
        <w:t xml:space="preserve"> PC3 applies.</w:t>
      </w:r>
    </w:p>
    <w:p w14:paraId="1A7070DC" w14:textId="20522EAA" w:rsidR="0031291F" w:rsidRDefault="0031291F" w:rsidP="0031291F">
      <w:pPr>
        <w:spacing w:after="0"/>
        <w:rPr>
          <w:b/>
        </w:rPr>
      </w:pPr>
      <w:r>
        <w:rPr>
          <w:b/>
        </w:rPr>
        <w:t>Proposal 2 on ACLR and SEM requirement</w:t>
      </w:r>
      <w:r w:rsidR="002968C1">
        <w:rPr>
          <w:b/>
        </w:rPr>
        <w:t>s</w:t>
      </w:r>
      <w:r>
        <w:rPr>
          <w:b/>
        </w:rPr>
        <w:t xml:space="preserve"> for PC2 contiguous UL CA:</w:t>
      </w:r>
    </w:p>
    <w:p w14:paraId="11B240AA" w14:textId="77777777" w:rsidR="00886827" w:rsidRDefault="0031291F" w:rsidP="00327D10">
      <w:pPr>
        <w:pStyle w:val="ListParagraph"/>
        <w:numPr>
          <w:ilvl w:val="0"/>
          <w:numId w:val="26"/>
        </w:numPr>
        <w:spacing w:after="0"/>
        <w:rPr>
          <w:b/>
        </w:rPr>
      </w:pPr>
      <w:r>
        <w:rPr>
          <w:b/>
        </w:rPr>
        <w:t>PC2 ACLR is PC3 ACLR+1 dB at 31 dB</w:t>
      </w:r>
    </w:p>
    <w:p w14:paraId="418F6EB1" w14:textId="4A8BD52A" w:rsidR="00327D10" w:rsidRPr="00886827" w:rsidRDefault="00886827" w:rsidP="00327D10">
      <w:pPr>
        <w:pStyle w:val="ListParagraph"/>
        <w:numPr>
          <w:ilvl w:val="0"/>
          <w:numId w:val="26"/>
        </w:numPr>
        <w:spacing w:after="0"/>
        <w:rPr>
          <w:b/>
        </w:rPr>
      </w:pPr>
      <w:r w:rsidRPr="00886827">
        <w:rPr>
          <w:b/>
        </w:rPr>
        <w:t>PC2 SEM is the same as for PC3</w:t>
      </w:r>
      <w:r w:rsidR="00A90B67">
        <w:rPr>
          <w:b/>
        </w:rPr>
        <w:t>.</w:t>
      </w:r>
    </w:p>
    <w:p w14:paraId="586CC8AD" w14:textId="77777777" w:rsidR="00886827" w:rsidRDefault="00886827" w:rsidP="00327D10">
      <w:pPr>
        <w:spacing w:after="0"/>
        <w:rPr>
          <w:rFonts w:eastAsia="SimSun"/>
        </w:rPr>
      </w:pPr>
    </w:p>
    <w:p w14:paraId="061AA86F" w14:textId="4D6A37D1" w:rsidR="00B05C9F" w:rsidRDefault="00327D10" w:rsidP="00B05C9F">
      <w:pPr>
        <w:spacing w:after="0"/>
      </w:pPr>
      <w:r>
        <w:rPr>
          <w:rFonts w:eastAsia="SimSun"/>
        </w:rPr>
        <w:t xml:space="preserve">Similar </w:t>
      </w:r>
      <w:r w:rsidR="00617653">
        <w:rPr>
          <w:rFonts w:eastAsia="SimSun"/>
        </w:rPr>
        <w:t xml:space="preserve">QPSK </w:t>
      </w:r>
      <w:r>
        <w:rPr>
          <w:rFonts w:eastAsia="SimSun"/>
        </w:rPr>
        <w:t>wavefo</w:t>
      </w:r>
      <w:r w:rsidR="005C0762">
        <w:rPr>
          <w:rFonts w:eastAsia="SimSun"/>
        </w:rPr>
        <w:t xml:space="preserve">rm cases </w:t>
      </w:r>
      <w:r w:rsidR="00A90B67">
        <w:rPr>
          <w:rFonts w:eastAsia="SimSun"/>
        </w:rPr>
        <w:t>as</w:t>
      </w:r>
      <w:r w:rsidR="005C0762">
        <w:rPr>
          <w:rFonts w:eastAsia="SimSun"/>
        </w:rPr>
        <w:t xml:space="preserve"> those used for the </w:t>
      </w:r>
      <w:r w:rsidR="00A90B67">
        <w:rPr>
          <w:rFonts w:eastAsia="SimSun"/>
        </w:rPr>
        <w:t>R</w:t>
      </w:r>
      <w:r w:rsidR="005C0762">
        <w:rPr>
          <w:rFonts w:eastAsia="SimSun"/>
        </w:rPr>
        <w:t>elease 16 PC3 UL CA study were measured</w:t>
      </w:r>
      <w:r w:rsidR="00331F70">
        <w:rPr>
          <w:rFonts w:eastAsia="SimSun"/>
        </w:rPr>
        <w:t xml:space="preserve"> </w:t>
      </w:r>
      <w:r w:rsidR="00B05C9F">
        <w:rPr>
          <w:rFonts w:eastAsia="SimSun"/>
        </w:rPr>
        <w:t>for back</w:t>
      </w:r>
      <w:r w:rsidR="00A90B67">
        <w:rPr>
          <w:rFonts w:eastAsia="SimSun"/>
        </w:rPr>
        <w:t>-</w:t>
      </w:r>
      <w:r w:rsidR="00B05C9F">
        <w:rPr>
          <w:rFonts w:eastAsia="SimSun"/>
        </w:rPr>
        <w:t xml:space="preserve">off against NS01 and NS04 requirements </w:t>
      </w:r>
      <w:r w:rsidR="00331F70">
        <w:rPr>
          <w:rFonts w:eastAsia="SimSun"/>
        </w:rPr>
        <w:t>and pro</w:t>
      </w:r>
      <w:r w:rsidR="00B05C9F">
        <w:rPr>
          <w:rFonts w:eastAsia="SimSun"/>
        </w:rPr>
        <w:t>vided in Table 1</w:t>
      </w:r>
      <w:r w:rsidR="005C0762">
        <w:rPr>
          <w:rFonts w:eastAsia="SimSun"/>
        </w:rPr>
        <w:t>:</w:t>
      </w:r>
    </w:p>
    <w:p w14:paraId="1DE848D2" w14:textId="69A38482" w:rsidR="00B05C9F" w:rsidRDefault="00B05C9F" w:rsidP="00B05C9F">
      <w:pPr>
        <w:pStyle w:val="Caption"/>
        <w:keepNext/>
        <w:jc w:val="center"/>
      </w:pPr>
      <w:r>
        <w:t xml:space="preserve">Table </w:t>
      </w:r>
      <w:fldSimple w:instr=" SEQ Table \* ARABIC ">
        <w:r w:rsidR="00913DC0">
          <w:rPr>
            <w:noProof/>
          </w:rPr>
          <w:t>1</w:t>
        </w:r>
      </w:fldSimple>
      <w:r>
        <w:t>: Measured waveforms</w:t>
      </w:r>
    </w:p>
    <w:p w14:paraId="57FF13DB" w14:textId="75CDDCFB" w:rsidR="005C0762" w:rsidRPr="00327D10" w:rsidRDefault="00331F70" w:rsidP="00327D10">
      <w:pPr>
        <w:spacing w:after="0"/>
        <w:rPr>
          <w:rFonts w:eastAsia="SimSun"/>
        </w:rPr>
      </w:pPr>
      <w:r w:rsidRPr="00331F70">
        <w:rPr>
          <w:rFonts w:eastAsia="SimSun"/>
          <w:noProof/>
        </w:rPr>
        <w:drawing>
          <wp:inline distT="0" distB="0" distL="0" distR="0" wp14:anchorId="6FED02EE" wp14:editId="175CCCDD">
            <wp:extent cx="6189345" cy="4360503"/>
            <wp:effectExtent l="19050" t="19050" r="20955" b="215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9345" cy="4360503"/>
                    </a:xfrm>
                    <a:prstGeom prst="rect">
                      <a:avLst/>
                    </a:prstGeom>
                    <a:noFill/>
                    <a:ln>
                      <a:solidFill>
                        <a:schemeClr val="tx1"/>
                      </a:solidFill>
                    </a:ln>
                  </pic:spPr>
                </pic:pic>
              </a:graphicData>
            </a:graphic>
          </wp:inline>
        </w:drawing>
      </w:r>
    </w:p>
    <w:p w14:paraId="548AB054" w14:textId="4ABCD1D8" w:rsidR="00054D9C" w:rsidRDefault="00054D9C" w:rsidP="00054D9C">
      <w:pPr>
        <w:pStyle w:val="Heading2"/>
        <w:spacing w:after="240"/>
        <w:rPr>
          <w:sz w:val="36"/>
          <w:lang w:val="en-US"/>
        </w:rPr>
      </w:pPr>
      <w:r>
        <w:rPr>
          <w:sz w:val="36"/>
          <w:lang w:val="en-US"/>
        </w:rPr>
        <w:t>Power Class 2 PA Measurements Summary</w:t>
      </w:r>
    </w:p>
    <w:p w14:paraId="47E3F8DE" w14:textId="1045E78B" w:rsidR="00913DC0" w:rsidRDefault="00913DC0" w:rsidP="00913DC0">
      <w:r>
        <w:t>In this section</w:t>
      </w:r>
      <w:r w:rsidR="00A90B67">
        <w:t>,</w:t>
      </w:r>
      <w:r>
        <w:t xml:space="preserve"> we only provide the worst cases back-off out of all the measured results that can be found in the corresponding annex sections. When large MPR/A-MPR numbers are found at maximum PA voltage, a lower voltage was evaluated and results </w:t>
      </w:r>
      <w:r w:rsidR="00A90B67">
        <w:t xml:space="preserve">are </w:t>
      </w:r>
      <w:r>
        <w:t>denoted with HV/LV. This is especially the case for non-contiguous allocations for NS04 requirements.</w:t>
      </w:r>
    </w:p>
    <w:p w14:paraId="1C79D121" w14:textId="441D3ECB" w:rsidR="00913DC0" w:rsidRDefault="00913DC0" w:rsidP="00913DC0">
      <w:pPr>
        <w:pStyle w:val="Heading4"/>
        <w:numPr>
          <w:ilvl w:val="0"/>
          <w:numId w:val="0"/>
        </w:numPr>
        <w:spacing w:after="240"/>
      </w:pPr>
      <w:r>
        <w:t>Contiguous Allocations</w:t>
      </w:r>
    </w:p>
    <w:p w14:paraId="0D20F527" w14:textId="2BCA2777" w:rsidR="00113226" w:rsidRPr="00113226" w:rsidRDefault="00113226" w:rsidP="00113226">
      <w:pPr>
        <w:rPr>
          <w:lang w:val="en-GB"/>
        </w:rPr>
      </w:pPr>
      <w:r>
        <w:rPr>
          <w:lang w:val="en-GB"/>
        </w:rPr>
        <w:t xml:space="preserve">Table 2 provides the PC2 </w:t>
      </w:r>
      <w:r w:rsidR="00984AF4">
        <w:rPr>
          <w:lang w:val="en-GB"/>
        </w:rPr>
        <w:t xml:space="preserve">QPSK </w:t>
      </w:r>
      <w:r>
        <w:rPr>
          <w:lang w:val="en-GB"/>
        </w:rPr>
        <w:t xml:space="preserve">MPR/AMPR </w:t>
      </w:r>
      <w:r w:rsidR="00984AF4">
        <w:rPr>
          <w:lang w:val="en-GB"/>
        </w:rPr>
        <w:t xml:space="preserve">contiguous UL CA class C </w:t>
      </w:r>
      <w:r>
        <w:rPr>
          <w:lang w:val="en-GB"/>
        </w:rPr>
        <w:t xml:space="preserve">results for NS01/NSO4 </w:t>
      </w:r>
      <w:r w:rsidR="00984AF4">
        <w:rPr>
          <w:lang w:val="en-GB"/>
        </w:rPr>
        <w:t xml:space="preserve">for contiguous allocations, </w:t>
      </w:r>
      <w:r>
        <w:rPr>
          <w:lang w:val="en-GB"/>
        </w:rPr>
        <w:t xml:space="preserve">and compares them with PC3 specification. Inner+ case is an </w:t>
      </w:r>
      <w:r w:rsidR="00984AF4">
        <w:rPr>
          <w:lang w:val="en-GB"/>
        </w:rPr>
        <w:t>O</w:t>
      </w:r>
      <w:r>
        <w:rPr>
          <w:lang w:val="en-GB"/>
        </w:rPr>
        <w:t>uter allocation which is just at the edge of the Inner region</w:t>
      </w:r>
      <w:r w:rsidR="00984AF4">
        <w:rPr>
          <w:lang w:val="en-GB"/>
        </w:rPr>
        <w:t>.</w:t>
      </w:r>
    </w:p>
    <w:p w14:paraId="37E454AF" w14:textId="2D093764" w:rsidR="00913DC0" w:rsidRDefault="00913DC0" w:rsidP="00913DC0">
      <w:pPr>
        <w:pStyle w:val="Caption"/>
        <w:keepNext/>
        <w:jc w:val="center"/>
      </w:pPr>
      <w:r>
        <w:t xml:space="preserve">Table </w:t>
      </w:r>
      <w:fldSimple w:instr=" SEQ Table \* ARABIC ">
        <w:r>
          <w:rPr>
            <w:noProof/>
          </w:rPr>
          <w:t>2</w:t>
        </w:r>
      </w:fldSimple>
      <w:r>
        <w:t>: NS01 MPR and NS04 A-MPR for Contiguous allocations</w:t>
      </w:r>
    </w:p>
    <w:tbl>
      <w:tblPr>
        <w:tblStyle w:val="Tabellengitternetz1"/>
        <w:tblW w:w="7473" w:type="dxa"/>
        <w:jc w:val="center"/>
        <w:tblLook w:val="04A0" w:firstRow="1" w:lastRow="0" w:firstColumn="1" w:lastColumn="0" w:noHBand="0" w:noVBand="1"/>
      </w:tblPr>
      <w:tblGrid>
        <w:gridCol w:w="799"/>
        <w:gridCol w:w="560"/>
        <w:gridCol w:w="720"/>
        <w:gridCol w:w="780"/>
        <w:gridCol w:w="650"/>
        <w:gridCol w:w="672"/>
        <w:gridCol w:w="688"/>
        <w:gridCol w:w="780"/>
        <w:gridCol w:w="912"/>
        <w:gridCol w:w="912"/>
      </w:tblGrid>
      <w:tr w:rsidR="00617653" w:rsidRPr="00D62DCC" w14:paraId="5954FD16" w14:textId="3373CD58" w:rsidTr="00AD3178">
        <w:trPr>
          <w:trHeight w:val="125"/>
          <w:jc w:val="center"/>
        </w:trPr>
        <w:tc>
          <w:tcPr>
            <w:tcW w:w="1359" w:type="dxa"/>
            <w:gridSpan w:val="2"/>
            <w:noWrap/>
            <w:vAlign w:val="center"/>
            <w:hideMark/>
          </w:tcPr>
          <w:p w14:paraId="66F2756F" w14:textId="07EEB4F2" w:rsidR="00617653" w:rsidRPr="00D62DCC" w:rsidRDefault="00617653" w:rsidP="003E3052">
            <w:pPr>
              <w:overflowPunct/>
              <w:autoSpaceDE/>
              <w:autoSpaceDN/>
              <w:adjustRightInd/>
              <w:spacing w:after="0"/>
              <w:jc w:val="center"/>
              <w:textAlignment w:val="auto"/>
              <w:rPr>
                <w:rFonts w:ascii="Calibri" w:hAnsi="Calibri"/>
                <w:b/>
                <w:color w:val="000000"/>
              </w:rPr>
            </w:pPr>
            <w:r w:rsidRPr="003E3052">
              <w:rPr>
                <w:rFonts w:ascii="Calibri" w:hAnsi="Calibri"/>
                <w:b/>
                <w:color w:val="000000"/>
              </w:rPr>
              <w:t>C</w:t>
            </w:r>
            <w:r w:rsidRPr="00D62DCC">
              <w:rPr>
                <w:rFonts w:ascii="Calibri" w:hAnsi="Calibri"/>
                <w:b/>
                <w:color w:val="000000"/>
              </w:rPr>
              <w:t>ases</w:t>
            </w:r>
          </w:p>
        </w:tc>
        <w:tc>
          <w:tcPr>
            <w:tcW w:w="720" w:type="dxa"/>
            <w:noWrap/>
            <w:vAlign w:val="center"/>
            <w:hideMark/>
          </w:tcPr>
          <w:p w14:paraId="7E9009BF" w14:textId="77777777" w:rsidR="00617653" w:rsidRPr="00D62DCC" w:rsidRDefault="00617653" w:rsidP="003E3052">
            <w:pPr>
              <w:overflowPunct/>
              <w:autoSpaceDE/>
              <w:autoSpaceDN/>
              <w:adjustRightInd/>
              <w:spacing w:after="0"/>
              <w:jc w:val="center"/>
              <w:textAlignment w:val="auto"/>
              <w:rPr>
                <w:rFonts w:ascii="Calibri" w:hAnsi="Calibri"/>
                <w:b/>
                <w:color w:val="000000"/>
              </w:rPr>
            </w:pPr>
            <w:r w:rsidRPr="00D62DCC">
              <w:rPr>
                <w:rFonts w:ascii="Calibri" w:hAnsi="Calibri"/>
                <w:b/>
                <w:color w:val="000000"/>
              </w:rPr>
              <w:t>NS01</w:t>
            </w:r>
          </w:p>
        </w:tc>
        <w:tc>
          <w:tcPr>
            <w:tcW w:w="780" w:type="dxa"/>
            <w:noWrap/>
            <w:vAlign w:val="center"/>
            <w:hideMark/>
          </w:tcPr>
          <w:p w14:paraId="7E44D62B" w14:textId="77777777" w:rsidR="00617653" w:rsidRPr="003E3052" w:rsidRDefault="00617653" w:rsidP="003E3052">
            <w:pPr>
              <w:overflowPunct/>
              <w:autoSpaceDE/>
              <w:autoSpaceDN/>
              <w:adjustRightInd/>
              <w:spacing w:after="0"/>
              <w:jc w:val="center"/>
              <w:textAlignment w:val="auto"/>
              <w:rPr>
                <w:rFonts w:ascii="Calibri" w:hAnsi="Calibri"/>
                <w:b/>
                <w:color w:val="000000"/>
              </w:rPr>
            </w:pPr>
            <w:proofErr w:type="spellStart"/>
            <w:r w:rsidRPr="00D62DCC">
              <w:rPr>
                <w:rFonts w:ascii="Calibri" w:hAnsi="Calibri"/>
                <w:b/>
                <w:color w:val="000000"/>
              </w:rPr>
              <w:t>Pmax</w:t>
            </w:r>
            <w:proofErr w:type="spellEnd"/>
          </w:p>
          <w:p w14:paraId="76D2F033" w14:textId="31D91AD8" w:rsidR="00617653" w:rsidRPr="00D62DCC" w:rsidRDefault="00617653" w:rsidP="003E3052">
            <w:pPr>
              <w:overflowPunct/>
              <w:autoSpaceDE/>
              <w:autoSpaceDN/>
              <w:adjustRightInd/>
              <w:spacing w:after="0"/>
              <w:jc w:val="center"/>
              <w:textAlignment w:val="auto"/>
              <w:rPr>
                <w:rFonts w:ascii="Calibri" w:hAnsi="Calibri"/>
                <w:b/>
                <w:color w:val="000000"/>
              </w:rPr>
            </w:pPr>
            <w:r w:rsidRPr="003E3052">
              <w:rPr>
                <w:rFonts w:ascii="Calibri" w:hAnsi="Calibri"/>
                <w:b/>
                <w:color w:val="000000"/>
              </w:rPr>
              <w:t>[</w:t>
            </w:r>
            <w:proofErr w:type="spellStart"/>
            <w:r w:rsidRPr="003E3052">
              <w:rPr>
                <w:rFonts w:ascii="Calibri" w:hAnsi="Calibri"/>
                <w:b/>
                <w:color w:val="000000"/>
              </w:rPr>
              <w:t>dBm</w:t>
            </w:r>
            <w:proofErr w:type="spellEnd"/>
            <w:r w:rsidRPr="003E3052">
              <w:rPr>
                <w:rFonts w:ascii="Calibri" w:hAnsi="Calibri"/>
                <w:b/>
                <w:color w:val="000000"/>
              </w:rPr>
              <w:t>]</w:t>
            </w:r>
          </w:p>
        </w:tc>
        <w:tc>
          <w:tcPr>
            <w:tcW w:w="650" w:type="dxa"/>
            <w:noWrap/>
            <w:vAlign w:val="center"/>
            <w:hideMark/>
          </w:tcPr>
          <w:p w14:paraId="70E7A79C" w14:textId="5E412587" w:rsidR="00617653" w:rsidRPr="003E3052" w:rsidRDefault="00617653" w:rsidP="003E3052">
            <w:pPr>
              <w:overflowPunct/>
              <w:autoSpaceDE/>
              <w:autoSpaceDN/>
              <w:adjustRightInd/>
              <w:spacing w:after="0"/>
              <w:jc w:val="center"/>
              <w:textAlignment w:val="auto"/>
              <w:rPr>
                <w:rFonts w:ascii="Calibri" w:hAnsi="Calibri"/>
                <w:b/>
                <w:color w:val="000000"/>
              </w:rPr>
            </w:pPr>
            <w:r w:rsidRPr="003E3052">
              <w:rPr>
                <w:rFonts w:ascii="Calibri" w:hAnsi="Calibri"/>
                <w:b/>
                <w:color w:val="000000"/>
              </w:rPr>
              <w:t xml:space="preserve">PC2 </w:t>
            </w:r>
            <w:r w:rsidRPr="00D62DCC">
              <w:rPr>
                <w:rFonts w:ascii="Calibri" w:hAnsi="Calibri"/>
                <w:b/>
                <w:color w:val="000000"/>
              </w:rPr>
              <w:t>MPR</w:t>
            </w:r>
          </w:p>
          <w:p w14:paraId="187E5F4E" w14:textId="0215EF08" w:rsidR="00617653" w:rsidRPr="00D62DCC" w:rsidRDefault="00617653" w:rsidP="003E3052">
            <w:pPr>
              <w:overflowPunct/>
              <w:autoSpaceDE/>
              <w:autoSpaceDN/>
              <w:adjustRightInd/>
              <w:spacing w:after="0"/>
              <w:jc w:val="center"/>
              <w:textAlignment w:val="auto"/>
              <w:rPr>
                <w:rFonts w:ascii="Calibri" w:hAnsi="Calibri"/>
                <w:b/>
                <w:color w:val="000000"/>
              </w:rPr>
            </w:pPr>
            <w:r w:rsidRPr="003E3052">
              <w:rPr>
                <w:rFonts w:ascii="Calibri" w:hAnsi="Calibri"/>
                <w:b/>
                <w:color w:val="000000"/>
              </w:rPr>
              <w:lastRenderedPageBreak/>
              <w:t>[dB]</w:t>
            </w:r>
          </w:p>
        </w:tc>
        <w:tc>
          <w:tcPr>
            <w:tcW w:w="672" w:type="dxa"/>
            <w:vAlign w:val="center"/>
          </w:tcPr>
          <w:p w14:paraId="348A3F66" w14:textId="7D20A3EF" w:rsidR="00617653" w:rsidRPr="003E3052" w:rsidRDefault="00617653" w:rsidP="003E3052">
            <w:pPr>
              <w:overflowPunct/>
              <w:autoSpaceDE/>
              <w:autoSpaceDN/>
              <w:adjustRightInd/>
              <w:spacing w:after="0"/>
              <w:jc w:val="center"/>
              <w:textAlignment w:val="auto"/>
              <w:rPr>
                <w:rFonts w:ascii="Calibri" w:hAnsi="Calibri"/>
                <w:b/>
                <w:color w:val="000000"/>
              </w:rPr>
            </w:pPr>
            <w:r w:rsidRPr="003E3052">
              <w:rPr>
                <w:rFonts w:ascii="Calibri" w:hAnsi="Calibri"/>
                <w:b/>
                <w:color w:val="000000"/>
              </w:rPr>
              <w:lastRenderedPageBreak/>
              <w:t xml:space="preserve">PC3 </w:t>
            </w:r>
            <w:r w:rsidRPr="00D62DCC">
              <w:rPr>
                <w:rFonts w:ascii="Calibri" w:hAnsi="Calibri"/>
                <w:b/>
                <w:color w:val="000000"/>
              </w:rPr>
              <w:t>MPR</w:t>
            </w:r>
          </w:p>
          <w:p w14:paraId="7CA6F3AB" w14:textId="36AEFE2D" w:rsidR="00617653" w:rsidRPr="003E3052" w:rsidRDefault="00617653" w:rsidP="003E3052">
            <w:pPr>
              <w:overflowPunct/>
              <w:autoSpaceDE/>
              <w:autoSpaceDN/>
              <w:adjustRightInd/>
              <w:spacing w:after="0"/>
              <w:jc w:val="center"/>
              <w:textAlignment w:val="auto"/>
              <w:rPr>
                <w:rFonts w:ascii="Calibri" w:hAnsi="Calibri"/>
                <w:b/>
                <w:color w:val="000000"/>
              </w:rPr>
            </w:pPr>
            <w:r w:rsidRPr="003E3052">
              <w:rPr>
                <w:rFonts w:ascii="Calibri" w:hAnsi="Calibri"/>
                <w:b/>
                <w:color w:val="000000"/>
              </w:rPr>
              <w:lastRenderedPageBreak/>
              <w:t>[dB]</w:t>
            </w:r>
          </w:p>
        </w:tc>
        <w:tc>
          <w:tcPr>
            <w:tcW w:w="688" w:type="dxa"/>
            <w:noWrap/>
            <w:vAlign w:val="center"/>
            <w:hideMark/>
          </w:tcPr>
          <w:p w14:paraId="431AEDA1" w14:textId="02A12F79" w:rsidR="00617653" w:rsidRPr="00D62DCC" w:rsidRDefault="00617653" w:rsidP="003E3052">
            <w:pPr>
              <w:overflowPunct/>
              <w:autoSpaceDE/>
              <w:autoSpaceDN/>
              <w:adjustRightInd/>
              <w:spacing w:after="0"/>
              <w:jc w:val="center"/>
              <w:textAlignment w:val="auto"/>
              <w:rPr>
                <w:rFonts w:ascii="Calibri" w:hAnsi="Calibri"/>
                <w:b/>
                <w:color w:val="000000"/>
              </w:rPr>
            </w:pPr>
            <w:r w:rsidRPr="00D62DCC">
              <w:rPr>
                <w:rFonts w:ascii="Calibri" w:hAnsi="Calibri"/>
                <w:b/>
                <w:color w:val="000000"/>
              </w:rPr>
              <w:lastRenderedPageBreak/>
              <w:t>NS04</w:t>
            </w:r>
          </w:p>
        </w:tc>
        <w:tc>
          <w:tcPr>
            <w:tcW w:w="780" w:type="dxa"/>
            <w:noWrap/>
            <w:vAlign w:val="center"/>
            <w:hideMark/>
          </w:tcPr>
          <w:p w14:paraId="3B88FB7E" w14:textId="77777777" w:rsidR="00617653" w:rsidRPr="003E3052" w:rsidRDefault="00617653" w:rsidP="003E3052">
            <w:pPr>
              <w:overflowPunct/>
              <w:autoSpaceDE/>
              <w:autoSpaceDN/>
              <w:adjustRightInd/>
              <w:spacing w:after="0"/>
              <w:jc w:val="center"/>
              <w:textAlignment w:val="auto"/>
              <w:rPr>
                <w:rFonts w:ascii="Calibri" w:hAnsi="Calibri"/>
                <w:b/>
                <w:color w:val="000000"/>
              </w:rPr>
            </w:pPr>
            <w:proofErr w:type="spellStart"/>
            <w:r w:rsidRPr="00D62DCC">
              <w:rPr>
                <w:rFonts w:ascii="Calibri" w:hAnsi="Calibri"/>
                <w:b/>
                <w:color w:val="000000"/>
              </w:rPr>
              <w:t>Pmax</w:t>
            </w:r>
            <w:proofErr w:type="spellEnd"/>
          </w:p>
          <w:p w14:paraId="7B1B1F76" w14:textId="1124F39B" w:rsidR="00617653" w:rsidRPr="00D62DCC" w:rsidRDefault="00617653" w:rsidP="003E3052">
            <w:pPr>
              <w:overflowPunct/>
              <w:autoSpaceDE/>
              <w:autoSpaceDN/>
              <w:adjustRightInd/>
              <w:spacing w:after="0"/>
              <w:jc w:val="center"/>
              <w:textAlignment w:val="auto"/>
              <w:rPr>
                <w:rFonts w:ascii="Calibri" w:hAnsi="Calibri"/>
                <w:b/>
                <w:color w:val="000000"/>
              </w:rPr>
            </w:pPr>
            <w:r w:rsidRPr="003E3052">
              <w:rPr>
                <w:rFonts w:ascii="Calibri" w:hAnsi="Calibri"/>
                <w:b/>
                <w:color w:val="000000"/>
              </w:rPr>
              <w:t>[</w:t>
            </w:r>
            <w:proofErr w:type="spellStart"/>
            <w:r w:rsidRPr="003E3052">
              <w:rPr>
                <w:rFonts w:ascii="Calibri" w:hAnsi="Calibri"/>
                <w:b/>
                <w:color w:val="000000"/>
              </w:rPr>
              <w:t>dBm</w:t>
            </w:r>
            <w:proofErr w:type="spellEnd"/>
            <w:r w:rsidRPr="003E3052">
              <w:rPr>
                <w:rFonts w:ascii="Calibri" w:hAnsi="Calibri"/>
                <w:b/>
                <w:color w:val="000000"/>
              </w:rPr>
              <w:t>]</w:t>
            </w:r>
          </w:p>
        </w:tc>
        <w:tc>
          <w:tcPr>
            <w:tcW w:w="912" w:type="dxa"/>
            <w:noWrap/>
            <w:vAlign w:val="center"/>
            <w:hideMark/>
          </w:tcPr>
          <w:p w14:paraId="6BA453FD" w14:textId="77777777" w:rsidR="00617653" w:rsidRPr="003E3052" w:rsidRDefault="00617653" w:rsidP="003E3052">
            <w:pPr>
              <w:overflowPunct/>
              <w:autoSpaceDE/>
              <w:autoSpaceDN/>
              <w:adjustRightInd/>
              <w:spacing w:after="0"/>
              <w:jc w:val="center"/>
              <w:textAlignment w:val="auto"/>
              <w:rPr>
                <w:rFonts w:ascii="Calibri" w:hAnsi="Calibri"/>
                <w:b/>
                <w:color w:val="000000"/>
              </w:rPr>
            </w:pPr>
            <w:r w:rsidRPr="003E3052">
              <w:rPr>
                <w:rFonts w:ascii="Calibri" w:hAnsi="Calibri"/>
                <w:b/>
                <w:color w:val="000000"/>
              </w:rPr>
              <w:t>PC2</w:t>
            </w:r>
          </w:p>
          <w:p w14:paraId="5A2B4E06" w14:textId="6F61F827" w:rsidR="00617653" w:rsidRPr="003E3052" w:rsidRDefault="00617653" w:rsidP="003E3052">
            <w:pPr>
              <w:overflowPunct/>
              <w:autoSpaceDE/>
              <w:autoSpaceDN/>
              <w:adjustRightInd/>
              <w:spacing w:after="0"/>
              <w:jc w:val="center"/>
              <w:textAlignment w:val="auto"/>
              <w:rPr>
                <w:rFonts w:ascii="Calibri" w:hAnsi="Calibri"/>
                <w:b/>
                <w:color w:val="000000"/>
              </w:rPr>
            </w:pPr>
            <w:r w:rsidRPr="003E3052">
              <w:rPr>
                <w:rFonts w:ascii="Calibri" w:hAnsi="Calibri"/>
                <w:b/>
                <w:color w:val="000000"/>
              </w:rPr>
              <w:t>A-</w:t>
            </w:r>
            <w:r w:rsidRPr="00D62DCC">
              <w:rPr>
                <w:rFonts w:ascii="Calibri" w:hAnsi="Calibri"/>
                <w:b/>
                <w:color w:val="000000"/>
              </w:rPr>
              <w:t>MPR</w:t>
            </w:r>
          </w:p>
          <w:p w14:paraId="5396C01D" w14:textId="4A5D1100" w:rsidR="00617653" w:rsidRPr="00D62DCC" w:rsidRDefault="00617653" w:rsidP="003E3052">
            <w:pPr>
              <w:overflowPunct/>
              <w:autoSpaceDE/>
              <w:autoSpaceDN/>
              <w:adjustRightInd/>
              <w:spacing w:after="0"/>
              <w:jc w:val="center"/>
              <w:textAlignment w:val="auto"/>
              <w:rPr>
                <w:rFonts w:ascii="Calibri" w:hAnsi="Calibri"/>
                <w:b/>
                <w:color w:val="000000"/>
              </w:rPr>
            </w:pPr>
            <w:r w:rsidRPr="003E3052">
              <w:rPr>
                <w:rFonts w:ascii="Calibri" w:hAnsi="Calibri"/>
                <w:b/>
                <w:color w:val="000000"/>
              </w:rPr>
              <w:lastRenderedPageBreak/>
              <w:t>[dB]</w:t>
            </w:r>
          </w:p>
        </w:tc>
        <w:tc>
          <w:tcPr>
            <w:tcW w:w="912" w:type="dxa"/>
            <w:vAlign w:val="center"/>
          </w:tcPr>
          <w:p w14:paraId="26D7320B" w14:textId="4B98AA94" w:rsidR="00617653" w:rsidRPr="003E3052" w:rsidRDefault="00617653" w:rsidP="003E3052">
            <w:pPr>
              <w:overflowPunct/>
              <w:autoSpaceDE/>
              <w:autoSpaceDN/>
              <w:adjustRightInd/>
              <w:spacing w:after="0"/>
              <w:jc w:val="center"/>
              <w:textAlignment w:val="auto"/>
              <w:rPr>
                <w:rFonts w:ascii="Calibri" w:hAnsi="Calibri"/>
                <w:b/>
                <w:color w:val="000000"/>
              </w:rPr>
            </w:pPr>
            <w:r w:rsidRPr="003E3052">
              <w:rPr>
                <w:rFonts w:ascii="Calibri" w:hAnsi="Calibri"/>
                <w:b/>
                <w:color w:val="000000"/>
              </w:rPr>
              <w:lastRenderedPageBreak/>
              <w:t>PC</w:t>
            </w:r>
            <w:r w:rsidR="00AD3178">
              <w:rPr>
                <w:rFonts w:ascii="Calibri" w:hAnsi="Calibri"/>
                <w:b/>
                <w:color w:val="000000"/>
              </w:rPr>
              <w:t>3</w:t>
            </w:r>
          </w:p>
          <w:p w14:paraId="28A7A51E" w14:textId="77777777" w:rsidR="00617653" w:rsidRPr="003E3052" w:rsidRDefault="00617653" w:rsidP="003E3052">
            <w:pPr>
              <w:overflowPunct/>
              <w:autoSpaceDE/>
              <w:autoSpaceDN/>
              <w:adjustRightInd/>
              <w:spacing w:after="0"/>
              <w:jc w:val="center"/>
              <w:textAlignment w:val="auto"/>
              <w:rPr>
                <w:rFonts w:ascii="Calibri" w:hAnsi="Calibri"/>
                <w:b/>
                <w:color w:val="000000"/>
              </w:rPr>
            </w:pPr>
            <w:r w:rsidRPr="003E3052">
              <w:rPr>
                <w:rFonts w:ascii="Calibri" w:hAnsi="Calibri"/>
                <w:b/>
                <w:color w:val="000000"/>
              </w:rPr>
              <w:t>A-</w:t>
            </w:r>
            <w:r w:rsidRPr="00D62DCC">
              <w:rPr>
                <w:rFonts w:ascii="Calibri" w:hAnsi="Calibri"/>
                <w:b/>
                <w:color w:val="000000"/>
              </w:rPr>
              <w:t>MPR</w:t>
            </w:r>
          </w:p>
          <w:p w14:paraId="7C998521" w14:textId="42763090" w:rsidR="00617653" w:rsidRPr="003E3052" w:rsidRDefault="00617653" w:rsidP="003E3052">
            <w:pPr>
              <w:overflowPunct/>
              <w:autoSpaceDE/>
              <w:autoSpaceDN/>
              <w:adjustRightInd/>
              <w:spacing w:after="0"/>
              <w:jc w:val="center"/>
              <w:textAlignment w:val="auto"/>
              <w:rPr>
                <w:rFonts w:ascii="Calibri" w:hAnsi="Calibri"/>
                <w:b/>
                <w:color w:val="000000"/>
              </w:rPr>
            </w:pPr>
            <w:r w:rsidRPr="003E3052">
              <w:rPr>
                <w:rFonts w:ascii="Calibri" w:hAnsi="Calibri"/>
                <w:b/>
                <w:color w:val="000000"/>
              </w:rPr>
              <w:lastRenderedPageBreak/>
              <w:t>[dB]</w:t>
            </w:r>
          </w:p>
        </w:tc>
      </w:tr>
      <w:tr w:rsidR="00617653" w:rsidRPr="00D62DCC" w14:paraId="5E7CAD88" w14:textId="28952CDD" w:rsidTr="00AD3178">
        <w:trPr>
          <w:trHeight w:val="288"/>
          <w:jc w:val="center"/>
        </w:trPr>
        <w:tc>
          <w:tcPr>
            <w:tcW w:w="799" w:type="dxa"/>
            <w:noWrap/>
            <w:hideMark/>
          </w:tcPr>
          <w:p w14:paraId="2C7E2C0E" w14:textId="4061859D" w:rsidR="00617653" w:rsidRPr="00D62DCC" w:rsidRDefault="00113226" w:rsidP="00913DC0">
            <w:pPr>
              <w:overflowPunct/>
              <w:autoSpaceDE/>
              <w:autoSpaceDN/>
              <w:adjustRightInd/>
              <w:spacing w:after="0"/>
              <w:jc w:val="center"/>
              <w:textAlignment w:val="auto"/>
              <w:rPr>
                <w:rFonts w:ascii="Calibri" w:hAnsi="Calibri"/>
                <w:color w:val="000000"/>
              </w:rPr>
            </w:pPr>
            <w:r w:rsidRPr="003E3052">
              <w:rPr>
                <w:rFonts w:ascii="Calibri" w:hAnsi="Calibri"/>
                <w:color w:val="000000"/>
              </w:rPr>
              <w:lastRenderedPageBreak/>
              <w:t>Inner</w:t>
            </w:r>
          </w:p>
        </w:tc>
        <w:tc>
          <w:tcPr>
            <w:tcW w:w="560" w:type="dxa"/>
            <w:noWrap/>
            <w:hideMark/>
          </w:tcPr>
          <w:p w14:paraId="7F6CE09C" w14:textId="77777777" w:rsidR="00617653" w:rsidRPr="00D62DCC" w:rsidRDefault="00617653"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DFT</w:t>
            </w:r>
          </w:p>
        </w:tc>
        <w:tc>
          <w:tcPr>
            <w:tcW w:w="720" w:type="dxa"/>
            <w:noWrap/>
            <w:hideMark/>
          </w:tcPr>
          <w:p w14:paraId="0EF1C479" w14:textId="77777777" w:rsidR="00617653" w:rsidRPr="00D62DCC" w:rsidRDefault="00617653"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ADL</w:t>
            </w:r>
          </w:p>
        </w:tc>
        <w:tc>
          <w:tcPr>
            <w:tcW w:w="780" w:type="dxa"/>
            <w:noWrap/>
            <w:hideMark/>
          </w:tcPr>
          <w:p w14:paraId="6C0B1CE9" w14:textId="77777777" w:rsidR="00617653" w:rsidRPr="00D62DCC" w:rsidRDefault="00617653"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23.8</w:t>
            </w:r>
          </w:p>
        </w:tc>
        <w:tc>
          <w:tcPr>
            <w:tcW w:w="650" w:type="dxa"/>
            <w:noWrap/>
            <w:hideMark/>
          </w:tcPr>
          <w:p w14:paraId="04CA73C1" w14:textId="77777777" w:rsidR="00617653" w:rsidRPr="00D62DCC" w:rsidRDefault="00617653"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2.5</w:t>
            </w:r>
          </w:p>
        </w:tc>
        <w:tc>
          <w:tcPr>
            <w:tcW w:w="672" w:type="dxa"/>
          </w:tcPr>
          <w:p w14:paraId="218E21B5" w14:textId="67C95E4C" w:rsidR="00617653" w:rsidRPr="003E3052" w:rsidRDefault="00617653" w:rsidP="00617653">
            <w:pPr>
              <w:overflowPunct/>
              <w:autoSpaceDE/>
              <w:autoSpaceDN/>
              <w:adjustRightInd/>
              <w:spacing w:after="0"/>
              <w:jc w:val="center"/>
              <w:textAlignment w:val="auto"/>
              <w:rPr>
                <w:rFonts w:ascii="Calibri" w:hAnsi="Calibri"/>
                <w:color w:val="000000"/>
              </w:rPr>
            </w:pPr>
            <w:r w:rsidRPr="003E3052">
              <w:rPr>
                <w:rFonts w:ascii="Calibri" w:hAnsi="Calibri"/>
                <w:color w:val="000000"/>
              </w:rPr>
              <w:t>2.5</w:t>
            </w:r>
          </w:p>
        </w:tc>
        <w:tc>
          <w:tcPr>
            <w:tcW w:w="688" w:type="dxa"/>
            <w:noWrap/>
            <w:hideMark/>
          </w:tcPr>
          <w:p w14:paraId="65C7573A" w14:textId="2BDEE89A" w:rsidR="00617653" w:rsidRPr="00D62DCC" w:rsidRDefault="00617653"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-25</w:t>
            </w:r>
          </w:p>
        </w:tc>
        <w:tc>
          <w:tcPr>
            <w:tcW w:w="780" w:type="dxa"/>
            <w:noWrap/>
            <w:hideMark/>
          </w:tcPr>
          <w:p w14:paraId="2B6A468A" w14:textId="77777777" w:rsidR="00617653" w:rsidRPr="00D62DCC" w:rsidRDefault="00617653"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22.2</w:t>
            </w:r>
          </w:p>
        </w:tc>
        <w:tc>
          <w:tcPr>
            <w:tcW w:w="912" w:type="dxa"/>
            <w:noWrap/>
            <w:hideMark/>
          </w:tcPr>
          <w:p w14:paraId="31E5F88B" w14:textId="77777777" w:rsidR="00617653" w:rsidRPr="00D62DCC" w:rsidRDefault="00617653"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4</w:t>
            </w:r>
          </w:p>
        </w:tc>
        <w:tc>
          <w:tcPr>
            <w:tcW w:w="912" w:type="dxa"/>
          </w:tcPr>
          <w:p w14:paraId="7DE6E715" w14:textId="3AD4D0CC" w:rsidR="00617653" w:rsidRPr="003E3052" w:rsidRDefault="00AD3178" w:rsidP="00913DC0">
            <w:pPr>
              <w:overflowPunct/>
              <w:autoSpaceDE/>
              <w:autoSpaceDN/>
              <w:adjustRightInd/>
              <w:spacing w:after="0"/>
              <w:jc w:val="center"/>
              <w:textAlignment w:val="auto"/>
              <w:rPr>
                <w:rFonts w:ascii="Calibri" w:hAnsi="Calibri"/>
                <w:color w:val="000000"/>
              </w:rPr>
            </w:pPr>
            <w:r>
              <w:rPr>
                <w:rFonts w:ascii="Calibri" w:hAnsi="Calibri"/>
                <w:color w:val="000000"/>
              </w:rPr>
              <w:t>2.5</w:t>
            </w:r>
          </w:p>
        </w:tc>
      </w:tr>
      <w:tr w:rsidR="00AD3178" w:rsidRPr="00D62DCC" w14:paraId="304D6A16" w14:textId="1E3C17CD" w:rsidTr="00AD3178">
        <w:trPr>
          <w:trHeight w:val="288"/>
          <w:jc w:val="center"/>
        </w:trPr>
        <w:tc>
          <w:tcPr>
            <w:tcW w:w="799" w:type="dxa"/>
            <w:noWrap/>
            <w:hideMark/>
          </w:tcPr>
          <w:p w14:paraId="701A2DB8" w14:textId="24BDEC2B" w:rsidR="00AD3178" w:rsidRPr="00D62DCC" w:rsidRDefault="00AD3178" w:rsidP="00913DC0">
            <w:pPr>
              <w:overflowPunct/>
              <w:autoSpaceDE/>
              <w:autoSpaceDN/>
              <w:adjustRightInd/>
              <w:spacing w:after="0"/>
              <w:jc w:val="center"/>
              <w:textAlignment w:val="auto"/>
              <w:rPr>
                <w:rFonts w:ascii="Calibri" w:hAnsi="Calibri"/>
                <w:color w:val="000000"/>
              </w:rPr>
            </w:pPr>
            <w:r w:rsidRPr="003E3052">
              <w:rPr>
                <w:rFonts w:ascii="Calibri" w:hAnsi="Calibri"/>
                <w:color w:val="000000"/>
              </w:rPr>
              <w:t>Inner</w:t>
            </w:r>
            <w:r w:rsidRPr="00D62DCC">
              <w:rPr>
                <w:rFonts w:ascii="Calibri" w:hAnsi="Calibri"/>
                <w:color w:val="000000"/>
              </w:rPr>
              <w:t>+</w:t>
            </w:r>
          </w:p>
        </w:tc>
        <w:tc>
          <w:tcPr>
            <w:tcW w:w="560" w:type="dxa"/>
            <w:noWrap/>
            <w:hideMark/>
          </w:tcPr>
          <w:p w14:paraId="3758DA97"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DFT</w:t>
            </w:r>
          </w:p>
        </w:tc>
        <w:tc>
          <w:tcPr>
            <w:tcW w:w="720" w:type="dxa"/>
            <w:noWrap/>
            <w:hideMark/>
          </w:tcPr>
          <w:p w14:paraId="66C69850"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ADL</w:t>
            </w:r>
          </w:p>
        </w:tc>
        <w:tc>
          <w:tcPr>
            <w:tcW w:w="780" w:type="dxa"/>
            <w:noWrap/>
            <w:hideMark/>
          </w:tcPr>
          <w:p w14:paraId="6BCE1D83"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23.7</w:t>
            </w:r>
          </w:p>
        </w:tc>
        <w:tc>
          <w:tcPr>
            <w:tcW w:w="650" w:type="dxa"/>
            <w:noWrap/>
            <w:hideMark/>
          </w:tcPr>
          <w:p w14:paraId="3C9A7400"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2.5</w:t>
            </w:r>
          </w:p>
        </w:tc>
        <w:tc>
          <w:tcPr>
            <w:tcW w:w="672" w:type="dxa"/>
            <w:vMerge w:val="restart"/>
          </w:tcPr>
          <w:p w14:paraId="487251FE" w14:textId="08FBEE6A" w:rsidR="00AD3178" w:rsidRPr="003E3052" w:rsidRDefault="00AD3178" w:rsidP="00FC63C6">
            <w:pPr>
              <w:overflowPunct/>
              <w:autoSpaceDE/>
              <w:autoSpaceDN/>
              <w:adjustRightInd/>
              <w:spacing w:after="0"/>
              <w:jc w:val="center"/>
              <w:textAlignment w:val="auto"/>
              <w:rPr>
                <w:rFonts w:ascii="Calibri" w:hAnsi="Calibri"/>
                <w:color w:val="000000"/>
              </w:rPr>
            </w:pPr>
            <w:r w:rsidRPr="003E3052">
              <w:rPr>
                <w:rFonts w:ascii="Calibri" w:hAnsi="Calibri"/>
                <w:color w:val="000000"/>
              </w:rPr>
              <w:t>7</w:t>
            </w:r>
          </w:p>
        </w:tc>
        <w:tc>
          <w:tcPr>
            <w:tcW w:w="688" w:type="dxa"/>
            <w:noWrap/>
            <w:hideMark/>
          </w:tcPr>
          <w:p w14:paraId="0C60F587" w14:textId="64AFD459"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-25</w:t>
            </w:r>
          </w:p>
        </w:tc>
        <w:tc>
          <w:tcPr>
            <w:tcW w:w="780" w:type="dxa"/>
            <w:noWrap/>
            <w:hideMark/>
          </w:tcPr>
          <w:p w14:paraId="7EB7E121"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22.1</w:t>
            </w:r>
          </w:p>
        </w:tc>
        <w:tc>
          <w:tcPr>
            <w:tcW w:w="912" w:type="dxa"/>
            <w:noWrap/>
            <w:hideMark/>
          </w:tcPr>
          <w:p w14:paraId="38806271"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4</w:t>
            </w:r>
          </w:p>
        </w:tc>
        <w:tc>
          <w:tcPr>
            <w:tcW w:w="912" w:type="dxa"/>
            <w:vMerge w:val="restart"/>
          </w:tcPr>
          <w:p w14:paraId="0269E107" w14:textId="2D917D27" w:rsidR="00AD3178" w:rsidRPr="003E3052" w:rsidRDefault="00AD3178" w:rsidP="00913DC0">
            <w:pPr>
              <w:overflowPunct/>
              <w:autoSpaceDE/>
              <w:autoSpaceDN/>
              <w:adjustRightInd/>
              <w:spacing w:after="0"/>
              <w:jc w:val="center"/>
              <w:textAlignment w:val="auto"/>
              <w:rPr>
                <w:rFonts w:ascii="Calibri" w:hAnsi="Calibri"/>
                <w:color w:val="000000"/>
              </w:rPr>
            </w:pPr>
            <w:r>
              <w:rPr>
                <w:rFonts w:ascii="Calibri" w:hAnsi="Calibri"/>
                <w:color w:val="000000"/>
              </w:rPr>
              <w:t>7</w:t>
            </w:r>
          </w:p>
        </w:tc>
      </w:tr>
      <w:tr w:rsidR="00AD3178" w:rsidRPr="00D62DCC" w14:paraId="507148C3" w14:textId="32EA7CF2" w:rsidTr="00AD3178">
        <w:trPr>
          <w:trHeight w:val="288"/>
          <w:jc w:val="center"/>
        </w:trPr>
        <w:tc>
          <w:tcPr>
            <w:tcW w:w="799" w:type="dxa"/>
            <w:noWrap/>
            <w:hideMark/>
          </w:tcPr>
          <w:p w14:paraId="24EB8A16" w14:textId="71441B0E" w:rsidR="00AD3178" w:rsidRPr="00D62DCC" w:rsidRDefault="00AD3178" w:rsidP="00913DC0">
            <w:pPr>
              <w:overflowPunct/>
              <w:autoSpaceDE/>
              <w:autoSpaceDN/>
              <w:adjustRightInd/>
              <w:spacing w:after="0"/>
              <w:jc w:val="center"/>
              <w:textAlignment w:val="auto"/>
              <w:rPr>
                <w:rFonts w:ascii="Calibri" w:hAnsi="Calibri"/>
                <w:color w:val="000000"/>
              </w:rPr>
            </w:pPr>
            <w:r w:rsidRPr="003E3052">
              <w:rPr>
                <w:rFonts w:ascii="Calibri" w:hAnsi="Calibri"/>
                <w:color w:val="000000"/>
              </w:rPr>
              <w:t>Outer</w:t>
            </w:r>
          </w:p>
        </w:tc>
        <w:tc>
          <w:tcPr>
            <w:tcW w:w="560" w:type="dxa"/>
            <w:noWrap/>
            <w:hideMark/>
          </w:tcPr>
          <w:p w14:paraId="7B1D3B64"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DFT</w:t>
            </w:r>
          </w:p>
        </w:tc>
        <w:tc>
          <w:tcPr>
            <w:tcW w:w="720" w:type="dxa"/>
            <w:noWrap/>
            <w:hideMark/>
          </w:tcPr>
          <w:p w14:paraId="2B7C5D85"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ADL</w:t>
            </w:r>
          </w:p>
        </w:tc>
        <w:tc>
          <w:tcPr>
            <w:tcW w:w="780" w:type="dxa"/>
            <w:noWrap/>
            <w:hideMark/>
          </w:tcPr>
          <w:p w14:paraId="5D1C8A43"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21.3</w:t>
            </w:r>
          </w:p>
        </w:tc>
        <w:tc>
          <w:tcPr>
            <w:tcW w:w="650" w:type="dxa"/>
            <w:noWrap/>
            <w:hideMark/>
          </w:tcPr>
          <w:p w14:paraId="7BF6FF56"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5</w:t>
            </w:r>
          </w:p>
        </w:tc>
        <w:tc>
          <w:tcPr>
            <w:tcW w:w="672" w:type="dxa"/>
            <w:vMerge/>
          </w:tcPr>
          <w:p w14:paraId="42509FE8" w14:textId="53B0B839" w:rsidR="00AD3178" w:rsidRPr="003E3052" w:rsidRDefault="00AD3178" w:rsidP="00913DC0">
            <w:pPr>
              <w:overflowPunct/>
              <w:autoSpaceDE/>
              <w:autoSpaceDN/>
              <w:adjustRightInd/>
              <w:spacing w:after="0"/>
              <w:jc w:val="center"/>
              <w:textAlignment w:val="auto"/>
              <w:rPr>
                <w:rFonts w:ascii="Calibri" w:hAnsi="Calibri"/>
                <w:color w:val="000000"/>
              </w:rPr>
            </w:pPr>
          </w:p>
        </w:tc>
        <w:tc>
          <w:tcPr>
            <w:tcW w:w="688" w:type="dxa"/>
            <w:noWrap/>
            <w:hideMark/>
          </w:tcPr>
          <w:p w14:paraId="4DAE7EBA" w14:textId="64C05A2F"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ADL</w:t>
            </w:r>
          </w:p>
        </w:tc>
        <w:tc>
          <w:tcPr>
            <w:tcW w:w="780" w:type="dxa"/>
            <w:noWrap/>
            <w:hideMark/>
          </w:tcPr>
          <w:p w14:paraId="3A408268"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21.8</w:t>
            </w:r>
          </w:p>
        </w:tc>
        <w:tc>
          <w:tcPr>
            <w:tcW w:w="912" w:type="dxa"/>
            <w:noWrap/>
            <w:hideMark/>
          </w:tcPr>
          <w:p w14:paraId="07E0A6F2"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4.5</w:t>
            </w:r>
          </w:p>
        </w:tc>
        <w:tc>
          <w:tcPr>
            <w:tcW w:w="912" w:type="dxa"/>
            <w:vMerge/>
          </w:tcPr>
          <w:p w14:paraId="68C81A9E" w14:textId="77777777" w:rsidR="00AD3178" w:rsidRPr="003E3052" w:rsidRDefault="00AD3178" w:rsidP="00913DC0">
            <w:pPr>
              <w:overflowPunct/>
              <w:autoSpaceDE/>
              <w:autoSpaceDN/>
              <w:adjustRightInd/>
              <w:spacing w:after="0"/>
              <w:jc w:val="center"/>
              <w:textAlignment w:val="auto"/>
              <w:rPr>
                <w:rFonts w:ascii="Calibri" w:hAnsi="Calibri"/>
                <w:color w:val="000000"/>
              </w:rPr>
            </w:pPr>
          </w:p>
        </w:tc>
      </w:tr>
      <w:tr w:rsidR="00113226" w:rsidRPr="00D62DCC" w14:paraId="6170E248" w14:textId="5FB213E9" w:rsidTr="00AD3178">
        <w:trPr>
          <w:trHeight w:val="288"/>
          <w:jc w:val="center"/>
        </w:trPr>
        <w:tc>
          <w:tcPr>
            <w:tcW w:w="799" w:type="dxa"/>
            <w:noWrap/>
            <w:hideMark/>
          </w:tcPr>
          <w:p w14:paraId="2501392F" w14:textId="4893576B" w:rsidR="00113226" w:rsidRPr="00D62DCC" w:rsidRDefault="00113226" w:rsidP="00913DC0">
            <w:pPr>
              <w:overflowPunct/>
              <w:autoSpaceDE/>
              <w:autoSpaceDN/>
              <w:adjustRightInd/>
              <w:spacing w:after="0"/>
              <w:jc w:val="center"/>
              <w:textAlignment w:val="auto"/>
              <w:rPr>
                <w:rFonts w:ascii="Calibri" w:hAnsi="Calibri"/>
                <w:color w:val="000000"/>
              </w:rPr>
            </w:pPr>
            <w:r w:rsidRPr="003E3052">
              <w:rPr>
                <w:rFonts w:ascii="Calibri" w:hAnsi="Calibri"/>
                <w:color w:val="000000"/>
              </w:rPr>
              <w:t>Inner</w:t>
            </w:r>
          </w:p>
        </w:tc>
        <w:tc>
          <w:tcPr>
            <w:tcW w:w="560" w:type="dxa"/>
            <w:noWrap/>
            <w:hideMark/>
          </w:tcPr>
          <w:p w14:paraId="3AFB7978" w14:textId="77777777" w:rsidR="00113226" w:rsidRPr="00D62DCC" w:rsidRDefault="00113226"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CP</w:t>
            </w:r>
          </w:p>
        </w:tc>
        <w:tc>
          <w:tcPr>
            <w:tcW w:w="720" w:type="dxa"/>
            <w:noWrap/>
            <w:hideMark/>
          </w:tcPr>
          <w:p w14:paraId="5C6FCFAD" w14:textId="77777777" w:rsidR="00113226" w:rsidRPr="00D62DCC" w:rsidRDefault="00113226"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ADL</w:t>
            </w:r>
          </w:p>
        </w:tc>
        <w:tc>
          <w:tcPr>
            <w:tcW w:w="780" w:type="dxa"/>
            <w:noWrap/>
            <w:hideMark/>
          </w:tcPr>
          <w:p w14:paraId="487F0CF1" w14:textId="77777777" w:rsidR="00113226" w:rsidRPr="00D62DCC" w:rsidRDefault="00113226"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23.3</w:t>
            </w:r>
          </w:p>
        </w:tc>
        <w:tc>
          <w:tcPr>
            <w:tcW w:w="650" w:type="dxa"/>
            <w:noWrap/>
            <w:hideMark/>
          </w:tcPr>
          <w:p w14:paraId="6EDDD5F6" w14:textId="77777777" w:rsidR="00113226" w:rsidRPr="00D62DCC" w:rsidRDefault="00113226"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3</w:t>
            </w:r>
          </w:p>
        </w:tc>
        <w:tc>
          <w:tcPr>
            <w:tcW w:w="672" w:type="dxa"/>
          </w:tcPr>
          <w:p w14:paraId="421D6F7B" w14:textId="10C09974" w:rsidR="00113226" w:rsidRPr="003E3052" w:rsidRDefault="00113226" w:rsidP="00913DC0">
            <w:pPr>
              <w:overflowPunct/>
              <w:autoSpaceDE/>
              <w:autoSpaceDN/>
              <w:adjustRightInd/>
              <w:spacing w:after="0"/>
              <w:jc w:val="center"/>
              <w:textAlignment w:val="auto"/>
              <w:rPr>
                <w:rFonts w:ascii="Calibri" w:hAnsi="Calibri"/>
                <w:color w:val="000000"/>
              </w:rPr>
            </w:pPr>
            <w:r w:rsidRPr="003E3052">
              <w:rPr>
                <w:rFonts w:ascii="Calibri" w:hAnsi="Calibri"/>
                <w:color w:val="000000"/>
              </w:rPr>
              <w:t>3.5</w:t>
            </w:r>
          </w:p>
        </w:tc>
        <w:tc>
          <w:tcPr>
            <w:tcW w:w="688" w:type="dxa"/>
            <w:noWrap/>
            <w:hideMark/>
          </w:tcPr>
          <w:p w14:paraId="4F662026" w14:textId="2A13512A" w:rsidR="00113226" w:rsidRPr="00D62DCC" w:rsidRDefault="00113226"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-25</w:t>
            </w:r>
          </w:p>
        </w:tc>
        <w:tc>
          <w:tcPr>
            <w:tcW w:w="780" w:type="dxa"/>
            <w:noWrap/>
            <w:hideMark/>
          </w:tcPr>
          <w:p w14:paraId="1BEC2D4B" w14:textId="77777777" w:rsidR="00113226" w:rsidRPr="00D62DCC" w:rsidRDefault="00113226"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21</w:t>
            </w:r>
          </w:p>
        </w:tc>
        <w:tc>
          <w:tcPr>
            <w:tcW w:w="912" w:type="dxa"/>
            <w:noWrap/>
            <w:hideMark/>
          </w:tcPr>
          <w:p w14:paraId="61A3BC04" w14:textId="77777777" w:rsidR="00113226" w:rsidRPr="00D62DCC" w:rsidRDefault="00113226"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5</w:t>
            </w:r>
          </w:p>
        </w:tc>
        <w:tc>
          <w:tcPr>
            <w:tcW w:w="912" w:type="dxa"/>
          </w:tcPr>
          <w:p w14:paraId="4DB2BCCB" w14:textId="6866C2A4" w:rsidR="00113226" w:rsidRPr="003E3052" w:rsidRDefault="00AD3178" w:rsidP="00913DC0">
            <w:pPr>
              <w:overflowPunct/>
              <w:autoSpaceDE/>
              <w:autoSpaceDN/>
              <w:adjustRightInd/>
              <w:spacing w:after="0"/>
              <w:jc w:val="center"/>
              <w:textAlignment w:val="auto"/>
              <w:rPr>
                <w:rFonts w:ascii="Calibri" w:hAnsi="Calibri"/>
                <w:color w:val="000000"/>
              </w:rPr>
            </w:pPr>
            <w:r>
              <w:rPr>
                <w:rFonts w:ascii="Calibri" w:hAnsi="Calibri"/>
                <w:color w:val="000000"/>
              </w:rPr>
              <w:t>3.5</w:t>
            </w:r>
          </w:p>
        </w:tc>
      </w:tr>
      <w:tr w:rsidR="00AD3178" w:rsidRPr="00D62DCC" w14:paraId="72EE4C86" w14:textId="5D0187D8" w:rsidTr="00AD3178">
        <w:trPr>
          <w:trHeight w:val="288"/>
          <w:jc w:val="center"/>
        </w:trPr>
        <w:tc>
          <w:tcPr>
            <w:tcW w:w="799" w:type="dxa"/>
            <w:noWrap/>
            <w:hideMark/>
          </w:tcPr>
          <w:p w14:paraId="42A5D586" w14:textId="6D249DDE" w:rsidR="00AD3178" w:rsidRPr="00D62DCC" w:rsidRDefault="00AD3178" w:rsidP="00913DC0">
            <w:pPr>
              <w:overflowPunct/>
              <w:autoSpaceDE/>
              <w:autoSpaceDN/>
              <w:adjustRightInd/>
              <w:spacing w:after="0"/>
              <w:jc w:val="center"/>
              <w:textAlignment w:val="auto"/>
              <w:rPr>
                <w:rFonts w:ascii="Calibri" w:hAnsi="Calibri"/>
                <w:color w:val="000000"/>
              </w:rPr>
            </w:pPr>
            <w:r w:rsidRPr="003E3052">
              <w:rPr>
                <w:rFonts w:ascii="Calibri" w:hAnsi="Calibri"/>
                <w:color w:val="000000"/>
              </w:rPr>
              <w:t>Inner</w:t>
            </w:r>
            <w:r w:rsidRPr="00D62DCC">
              <w:rPr>
                <w:rFonts w:ascii="Calibri" w:hAnsi="Calibri"/>
                <w:color w:val="000000"/>
              </w:rPr>
              <w:t>+</w:t>
            </w:r>
          </w:p>
        </w:tc>
        <w:tc>
          <w:tcPr>
            <w:tcW w:w="560" w:type="dxa"/>
            <w:noWrap/>
            <w:hideMark/>
          </w:tcPr>
          <w:p w14:paraId="6EFD48B3"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CP</w:t>
            </w:r>
          </w:p>
        </w:tc>
        <w:tc>
          <w:tcPr>
            <w:tcW w:w="720" w:type="dxa"/>
            <w:noWrap/>
            <w:hideMark/>
          </w:tcPr>
          <w:p w14:paraId="05DADEC3"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ADL</w:t>
            </w:r>
          </w:p>
        </w:tc>
        <w:tc>
          <w:tcPr>
            <w:tcW w:w="780" w:type="dxa"/>
            <w:noWrap/>
            <w:hideMark/>
          </w:tcPr>
          <w:p w14:paraId="38A08953"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23.2</w:t>
            </w:r>
          </w:p>
        </w:tc>
        <w:tc>
          <w:tcPr>
            <w:tcW w:w="650" w:type="dxa"/>
            <w:noWrap/>
            <w:hideMark/>
          </w:tcPr>
          <w:p w14:paraId="665A9897"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3</w:t>
            </w:r>
          </w:p>
        </w:tc>
        <w:tc>
          <w:tcPr>
            <w:tcW w:w="672" w:type="dxa"/>
            <w:vMerge w:val="restart"/>
          </w:tcPr>
          <w:p w14:paraId="0E7C9E05" w14:textId="500E818A" w:rsidR="00AD3178" w:rsidRPr="003E3052" w:rsidRDefault="00AD3178" w:rsidP="00FC63C6">
            <w:pPr>
              <w:overflowPunct/>
              <w:autoSpaceDE/>
              <w:autoSpaceDN/>
              <w:adjustRightInd/>
              <w:spacing w:after="0"/>
              <w:jc w:val="center"/>
              <w:textAlignment w:val="auto"/>
              <w:rPr>
                <w:rFonts w:ascii="Calibri" w:hAnsi="Calibri"/>
                <w:color w:val="000000"/>
              </w:rPr>
            </w:pPr>
            <w:r w:rsidRPr="003E3052">
              <w:rPr>
                <w:rFonts w:ascii="Calibri" w:hAnsi="Calibri"/>
                <w:color w:val="000000"/>
              </w:rPr>
              <w:t>8</w:t>
            </w:r>
          </w:p>
        </w:tc>
        <w:tc>
          <w:tcPr>
            <w:tcW w:w="688" w:type="dxa"/>
            <w:noWrap/>
            <w:hideMark/>
          </w:tcPr>
          <w:p w14:paraId="3C9CC6DA" w14:textId="7E4A9680"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-25</w:t>
            </w:r>
          </w:p>
        </w:tc>
        <w:tc>
          <w:tcPr>
            <w:tcW w:w="780" w:type="dxa"/>
            <w:noWrap/>
            <w:hideMark/>
          </w:tcPr>
          <w:p w14:paraId="65857C8C"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21</w:t>
            </w:r>
          </w:p>
        </w:tc>
        <w:tc>
          <w:tcPr>
            <w:tcW w:w="912" w:type="dxa"/>
            <w:noWrap/>
            <w:hideMark/>
          </w:tcPr>
          <w:p w14:paraId="472F0C0E"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5</w:t>
            </w:r>
          </w:p>
        </w:tc>
        <w:tc>
          <w:tcPr>
            <w:tcW w:w="912" w:type="dxa"/>
            <w:vMerge w:val="restart"/>
          </w:tcPr>
          <w:p w14:paraId="1EC549FB" w14:textId="417B05F4" w:rsidR="00AD3178" w:rsidRPr="003E3052" w:rsidRDefault="00AD3178" w:rsidP="00913DC0">
            <w:pPr>
              <w:overflowPunct/>
              <w:autoSpaceDE/>
              <w:autoSpaceDN/>
              <w:adjustRightInd/>
              <w:spacing w:after="0"/>
              <w:jc w:val="center"/>
              <w:textAlignment w:val="auto"/>
              <w:rPr>
                <w:rFonts w:ascii="Calibri" w:hAnsi="Calibri"/>
                <w:color w:val="000000"/>
              </w:rPr>
            </w:pPr>
            <w:r>
              <w:rPr>
                <w:rFonts w:ascii="Calibri" w:hAnsi="Calibri"/>
                <w:color w:val="000000"/>
              </w:rPr>
              <w:t>8</w:t>
            </w:r>
          </w:p>
        </w:tc>
      </w:tr>
      <w:tr w:rsidR="00AD3178" w:rsidRPr="00D62DCC" w14:paraId="6AF7717A" w14:textId="11B3D3DD" w:rsidTr="00AD3178">
        <w:trPr>
          <w:trHeight w:val="288"/>
          <w:jc w:val="center"/>
        </w:trPr>
        <w:tc>
          <w:tcPr>
            <w:tcW w:w="799" w:type="dxa"/>
            <w:noWrap/>
            <w:hideMark/>
          </w:tcPr>
          <w:p w14:paraId="3AFAAFE9" w14:textId="35A576FA" w:rsidR="00AD3178" w:rsidRPr="00D62DCC" w:rsidRDefault="00AD3178" w:rsidP="00913DC0">
            <w:pPr>
              <w:overflowPunct/>
              <w:autoSpaceDE/>
              <w:autoSpaceDN/>
              <w:adjustRightInd/>
              <w:spacing w:after="0"/>
              <w:jc w:val="center"/>
              <w:textAlignment w:val="auto"/>
              <w:rPr>
                <w:rFonts w:ascii="Calibri" w:hAnsi="Calibri"/>
                <w:color w:val="000000"/>
              </w:rPr>
            </w:pPr>
            <w:r w:rsidRPr="003E3052">
              <w:rPr>
                <w:rFonts w:ascii="Calibri" w:hAnsi="Calibri"/>
                <w:color w:val="000000"/>
              </w:rPr>
              <w:t>Outer</w:t>
            </w:r>
          </w:p>
        </w:tc>
        <w:tc>
          <w:tcPr>
            <w:tcW w:w="560" w:type="dxa"/>
            <w:noWrap/>
            <w:hideMark/>
          </w:tcPr>
          <w:p w14:paraId="3E3B419B"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CP</w:t>
            </w:r>
          </w:p>
        </w:tc>
        <w:tc>
          <w:tcPr>
            <w:tcW w:w="720" w:type="dxa"/>
            <w:noWrap/>
            <w:hideMark/>
          </w:tcPr>
          <w:p w14:paraId="0250A77C"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ADL</w:t>
            </w:r>
          </w:p>
        </w:tc>
        <w:tc>
          <w:tcPr>
            <w:tcW w:w="780" w:type="dxa"/>
            <w:noWrap/>
            <w:hideMark/>
          </w:tcPr>
          <w:p w14:paraId="6B360128"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20.5</w:t>
            </w:r>
          </w:p>
        </w:tc>
        <w:tc>
          <w:tcPr>
            <w:tcW w:w="650" w:type="dxa"/>
            <w:noWrap/>
            <w:hideMark/>
          </w:tcPr>
          <w:p w14:paraId="0D040E44"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5.5</w:t>
            </w:r>
          </w:p>
        </w:tc>
        <w:tc>
          <w:tcPr>
            <w:tcW w:w="672" w:type="dxa"/>
            <w:vMerge/>
          </w:tcPr>
          <w:p w14:paraId="319ED781" w14:textId="134F6530" w:rsidR="00AD3178" w:rsidRPr="003E3052" w:rsidRDefault="00AD3178" w:rsidP="00913DC0">
            <w:pPr>
              <w:overflowPunct/>
              <w:autoSpaceDE/>
              <w:autoSpaceDN/>
              <w:adjustRightInd/>
              <w:spacing w:after="0"/>
              <w:jc w:val="center"/>
              <w:textAlignment w:val="auto"/>
              <w:rPr>
                <w:rFonts w:ascii="Calibri" w:hAnsi="Calibri"/>
                <w:color w:val="000000"/>
              </w:rPr>
            </w:pPr>
          </w:p>
        </w:tc>
        <w:tc>
          <w:tcPr>
            <w:tcW w:w="688" w:type="dxa"/>
            <w:noWrap/>
            <w:hideMark/>
          </w:tcPr>
          <w:p w14:paraId="6FA40A49" w14:textId="5DC6E07C"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ADL</w:t>
            </w:r>
          </w:p>
        </w:tc>
        <w:tc>
          <w:tcPr>
            <w:tcW w:w="780" w:type="dxa"/>
            <w:noWrap/>
            <w:hideMark/>
          </w:tcPr>
          <w:p w14:paraId="032B8C95"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20.4</w:t>
            </w:r>
          </w:p>
        </w:tc>
        <w:tc>
          <w:tcPr>
            <w:tcW w:w="912" w:type="dxa"/>
            <w:noWrap/>
            <w:hideMark/>
          </w:tcPr>
          <w:p w14:paraId="40D949F7" w14:textId="77777777" w:rsidR="00AD3178" w:rsidRPr="00D62DCC" w:rsidRDefault="00AD3178" w:rsidP="00913DC0">
            <w:pPr>
              <w:overflowPunct/>
              <w:autoSpaceDE/>
              <w:autoSpaceDN/>
              <w:adjustRightInd/>
              <w:spacing w:after="0"/>
              <w:jc w:val="center"/>
              <w:textAlignment w:val="auto"/>
              <w:rPr>
                <w:rFonts w:ascii="Calibri" w:hAnsi="Calibri"/>
                <w:color w:val="000000"/>
              </w:rPr>
            </w:pPr>
            <w:r w:rsidRPr="00D62DCC">
              <w:rPr>
                <w:rFonts w:ascii="Calibri" w:hAnsi="Calibri"/>
                <w:color w:val="000000"/>
              </w:rPr>
              <w:t>6</w:t>
            </w:r>
          </w:p>
        </w:tc>
        <w:tc>
          <w:tcPr>
            <w:tcW w:w="912" w:type="dxa"/>
            <w:vMerge/>
          </w:tcPr>
          <w:p w14:paraId="3AD3892C" w14:textId="77777777" w:rsidR="00AD3178" w:rsidRPr="003E3052" w:rsidRDefault="00AD3178" w:rsidP="00913DC0">
            <w:pPr>
              <w:overflowPunct/>
              <w:autoSpaceDE/>
              <w:autoSpaceDN/>
              <w:adjustRightInd/>
              <w:spacing w:after="0"/>
              <w:jc w:val="center"/>
              <w:textAlignment w:val="auto"/>
              <w:rPr>
                <w:rFonts w:ascii="Calibri" w:hAnsi="Calibri"/>
                <w:color w:val="000000"/>
              </w:rPr>
            </w:pPr>
          </w:p>
        </w:tc>
      </w:tr>
    </w:tbl>
    <w:p w14:paraId="12908C79" w14:textId="77777777" w:rsidR="00D62DCC" w:rsidRDefault="00D62DCC" w:rsidP="004B7A6F">
      <w:pPr>
        <w:spacing w:after="0"/>
        <w:rPr>
          <w:b/>
        </w:rPr>
      </w:pPr>
    </w:p>
    <w:p w14:paraId="069CB087" w14:textId="6C86A4BB" w:rsidR="00113226" w:rsidRDefault="00113226" w:rsidP="004B7A6F">
      <w:pPr>
        <w:spacing w:after="0"/>
        <w:rPr>
          <w:b/>
        </w:rPr>
      </w:pPr>
      <w:r>
        <w:rPr>
          <w:b/>
        </w:rPr>
        <w:t>Observations</w:t>
      </w:r>
      <w:r w:rsidR="00FA3D91">
        <w:rPr>
          <w:b/>
        </w:rPr>
        <w:t xml:space="preserve"> on contiguous allocations</w:t>
      </w:r>
      <w:r>
        <w:rPr>
          <w:b/>
        </w:rPr>
        <w:t>:</w:t>
      </w:r>
    </w:p>
    <w:p w14:paraId="442CCE2F" w14:textId="64144015" w:rsidR="00113226" w:rsidRDefault="00113226" w:rsidP="00113226">
      <w:pPr>
        <w:pStyle w:val="ListParagraph"/>
        <w:numPr>
          <w:ilvl w:val="0"/>
          <w:numId w:val="25"/>
        </w:numPr>
        <w:spacing w:after="0"/>
        <w:rPr>
          <w:b/>
        </w:rPr>
      </w:pPr>
      <w:r>
        <w:rPr>
          <w:b/>
        </w:rPr>
        <w:t>PC</w:t>
      </w:r>
      <w:r w:rsidR="00984AF4">
        <w:rPr>
          <w:b/>
        </w:rPr>
        <w:t>3</w:t>
      </w:r>
      <w:r>
        <w:rPr>
          <w:b/>
        </w:rPr>
        <w:t xml:space="preserve"> Inner </w:t>
      </w:r>
      <w:r w:rsidR="00984AF4">
        <w:rPr>
          <w:b/>
        </w:rPr>
        <w:t xml:space="preserve">MPR </w:t>
      </w:r>
      <w:r w:rsidR="00D62F14">
        <w:rPr>
          <w:b/>
        </w:rPr>
        <w:t>is valid for PC2</w:t>
      </w:r>
    </w:p>
    <w:p w14:paraId="42FC4C9F" w14:textId="1B1080AD" w:rsidR="00D62F14" w:rsidRDefault="00D62F14" w:rsidP="00113226">
      <w:pPr>
        <w:pStyle w:val="ListParagraph"/>
        <w:numPr>
          <w:ilvl w:val="0"/>
          <w:numId w:val="25"/>
        </w:numPr>
        <w:spacing w:after="0"/>
        <w:rPr>
          <w:b/>
        </w:rPr>
      </w:pPr>
      <w:r>
        <w:rPr>
          <w:b/>
        </w:rPr>
        <w:t>PC3 Outer MPR has margin for PC2</w:t>
      </w:r>
    </w:p>
    <w:p w14:paraId="77EB5B0A" w14:textId="59EAA513" w:rsidR="00D62F14" w:rsidRDefault="00D62F14" w:rsidP="00113226">
      <w:pPr>
        <w:pStyle w:val="ListParagraph"/>
        <w:numPr>
          <w:ilvl w:val="0"/>
          <w:numId w:val="25"/>
        </w:numPr>
        <w:spacing w:after="0"/>
        <w:rPr>
          <w:b/>
        </w:rPr>
      </w:pPr>
      <w:r>
        <w:rPr>
          <w:b/>
        </w:rPr>
        <w:t>This is justified by the fact that contiguous allocations are ACLR limited and that PC2 is specified with a 1dB better ACLR than PC3</w:t>
      </w:r>
    </w:p>
    <w:p w14:paraId="6605E688" w14:textId="64D08494" w:rsidR="00FA3D91" w:rsidRDefault="00FA3D91" w:rsidP="00113226">
      <w:pPr>
        <w:pStyle w:val="ListParagraph"/>
        <w:numPr>
          <w:ilvl w:val="0"/>
          <w:numId w:val="25"/>
        </w:numPr>
        <w:spacing w:after="0"/>
        <w:rPr>
          <w:b/>
        </w:rPr>
      </w:pPr>
      <w:r>
        <w:rPr>
          <w:b/>
        </w:rPr>
        <w:t xml:space="preserve">For NS04 AMPR </w:t>
      </w:r>
      <w:r w:rsidR="00AD3178">
        <w:rPr>
          <w:b/>
        </w:rPr>
        <w:t>the worst case inner and outer allocation are SEM limited thus with 3dB higher power</w:t>
      </w:r>
      <w:r w:rsidR="00235E22">
        <w:rPr>
          <w:b/>
        </w:rPr>
        <w:t>,</w:t>
      </w:r>
      <w:r w:rsidR="00AD3178">
        <w:rPr>
          <w:b/>
        </w:rPr>
        <w:t xml:space="preserve"> a larger back-off is needed at least for inner allocations</w:t>
      </w:r>
      <w:r w:rsidR="00A90B67">
        <w:rPr>
          <w:b/>
        </w:rPr>
        <w:t>.</w:t>
      </w:r>
      <w:r w:rsidR="00AD3178">
        <w:rPr>
          <w:b/>
        </w:rPr>
        <w:t xml:space="preserve"> </w:t>
      </w:r>
    </w:p>
    <w:p w14:paraId="19CBA28C" w14:textId="77777777" w:rsidR="00D62F14" w:rsidRDefault="00D62F14" w:rsidP="00D62F14">
      <w:pPr>
        <w:spacing w:after="0"/>
        <w:rPr>
          <w:b/>
        </w:rPr>
      </w:pPr>
    </w:p>
    <w:p w14:paraId="6E2A6354" w14:textId="648FF849" w:rsidR="00D62F14" w:rsidRDefault="00D62F14" w:rsidP="00D62F14">
      <w:pPr>
        <w:spacing w:after="0"/>
        <w:rPr>
          <w:b/>
        </w:rPr>
      </w:pPr>
      <w:r>
        <w:rPr>
          <w:b/>
        </w:rPr>
        <w:t xml:space="preserve">Proposal </w:t>
      </w:r>
      <w:r w:rsidR="0031291F">
        <w:rPr>
          <w:b/>
        </w:rPr>
        <w:t>3</w:t>
      </w:r>
      <w:r w:rsidR="00FA3D91">
        <w:rPr>
          <w:b/>
        </w:rPr>
        <w:t xml:space="preserve"> on contiguous allocations</w:t>
      </w:r>
      <w:r>
        <w:rPr>
          <w:b/>
        </w:rPr>
        <w:t>:</w:t>
      </w:r>
    </w:p>
    <w:p w14:paraId="4B5E0CA0" w14:textId="0AAC6E6B" w:rsidR="00D62F14" w:rsidRDefault="00D62F14" w:rsidP="00D62F14">
      <w:pPr>
        <w:pStyle w:val="ListParagraph"/>
        <w:numPr>
          <w:ilvl w:val="0"/>
          <w:numId w:val="26"/>
        </w:numPr>
        <w:spacing w:after="0"/>
        <w:rPr>
          <w:b/>
        </w:rPr>
      </w:pPr>
      <w:r>
        <w:rPr>
          <w:b/>
        </w:rPr>
        <w:t>Contiguous Inner and Outer allocations definition for PC3 is adopted for PC2 (1Tx)</w:t>
      </w:r>
    </w:p>
    <w:p w14:paraId="535F50D2" w14:textId="6087D4C1" w:rsidR="00D62F14" w:rsidRDefault="00D62F14" w:rsidP="00D62F14">
      <w:pPr>
        <w:pStyle w:val="ListParagraph"/>
        <w:numPr>
          <w:ilvl w:val="0"/>
          <w:numId w:val="26"/>
        </w:numPr>
        <w:spacing w:after="0"/>
        <w:rPr>
          <w:b/>
        </w:rPr>
      </w:pPr>
      <w:r>
        <w:rPr>
          <w:b/>
        </w:rPr>
        <w:t>PC3 QPSK Inner MPR is adopted for PC2 (1Tx)</w:t>
      </w:r>
    </w:p>
    <w:p w14:paraId="5BE73080" w14:textId="7103E292" w:rsidR="00D62F14" w:rsidRDefault="00D62F14" w:rsidP="00D62F14">
      <w:pPr>
        <w:pStyle w:val="ListParagraph"/>
        <w:numPr>
          <w:ilvl w:val="0"/>
          <w:numId w:val="26"/>
        </w:numPr>
        <w:spacing w:after="0"/>
        <w:rPr>
          <w:b/>
        </w:rPr>
      </w:pPr>
      <w:r>
        <w:rPr>
          <w:b/>
        </w:rPr>
        <w:t>PC3 QPSK Outer MPR is adopted for PC2 (1Tx) with a potential reduction due to better ACLR</w:t>
      </w:r>
    </w:p>
    <w:p w14:paraId="6E24B480" w14:textId="2E7B0DBD" w:rsidR="00AD3178" w:rsidRPr="00D62F14" w:rsidRDefault="00235E22" w:rsidP="00D62F14">
      <w:pPr>
        <w:pStyle w:val="ListParagraph"/>
        <w:numPr>
          <w:ilvl w:val="0"/>
          <w:numId w:val="26"/>
        </w:numPr>
        <w:spacing w:after="0"/>
        <w:rPr>
          <w:b/>
        </w:rPr>
      </w:pPr>
      <w:r>
        <w:rPr>
          <w:b/>
        </w:rPr>
        <w:t>PC2 (1Tx) NS04 A-MPR is FFS but larger than PC3 especially for some inner allocation</w:t>
      </w:r>
      <w:r w:rsidR="00A90B67">
        <w:rPr>
          <w:b/>
        </w:rPr>
        <w:t>.</w:t>
      </w:r>
    </w:p>
    <w:p w14:paraId="44EE5CC8" w14:textId="119623B1" w:rsidR="00913DC0" w:rsidRDefault="00913DC0" w:rsidP="00913DC0">
      <w:pPr>
        <w:pStyle w:val="Heading4"/>
        <w:numPr>
          <w:ilvl w:val="0"/>
          <w:numId w:val="0"/>
        </w:numPr>
        <w:spacing w:after="240"/>
      </w:pPr>
      <w:r>
        <w:t>Non-contiguous Allocations</w:t>
      </w:r>
    </w:p>
    <w:p w14:paraId="03374697" w14:textId="60275E83" w:rsidR="00984AF4" w:rsidRPr="00113226" w:rsidRDefault="00984AF4" w:rsidP="00984AF4">
      <w:pPr>
        <w:rPr>
          <w:lang w:val="en-GB"/>
        </w:rPr>
      </w:pPr>
      <w:r>
        <w:rPr>
          <w:lang w:val="en-GB"/>
        </w:rPr>
        <w:t>Table 3 provides the PC2 QPSK MPR/AMPR contiguous UL CA class C results for NS01/NSO4 for non-contiguous allocations, and compares them with PC3 specification. Inner+ case is an Outer1 allocation which is just at the edge of the Inner region and Outer1+ case is an Outer2 allocation which is just at the edge of the Outer1 region.</w:t>
      </w:r>
    </w:p>
    <w:p w14:paraId="6DFE8CC7" w14:textId="3DE8DB7C" w:rsidR="00913DC0" w:rsidRDefault="00913DC0" w:rsidP="00913DC0">
      <w:pPr>
        <w:pStyle w:val="Caption"/>
        <w:keepNext/>
        <w:jc w:val="center"/>
      </w:pPr>
      <w:r>
        <w:t xml:space="preserve">Table </w:t>
      </w:r>
      <w:fldSimple w:instr=" SEQ Table \* ARABIC ">
        <w:r>
          <w:rPr>
            <w:noProof/>
          </w:rPr>
          <w:t>3</w:t>
        </w:r>
      </w:fldSimple>
      <w:r>
        <w:t xml:space="preserve">: NS01 MPR and NS04 A-MPR for </w:t>
      </w:r>
      <w:r w:rsidR="00354429">
        <w:t>Non-c</w:t>
      </w:r>
      <w:r>
        <w:t>ontiguous allocations</w:t>
      </w:r>
    </w:p>
    <w:tbl>
      <w:tblPr>
        <w:tblStyle w:val="Tabellengitternetz2"/>
        <w:tblW w:w="8957" w:type="dxa"/>
        <w:jc w:val="center"/>
        <w:tblLook w:val="04A0" w:firstRow="1" w:lastRow="0" w:firstColumn="1" w:lastColumn="0" w:noHBand="0" w:noVBand="1"/>
      </w:tblPr>
      <w:tblGrid>
        <w:gridCol w:w="959"/>
        <w:gridCol w:w="560"/>
        <w:gridCol w:w="843"/>
        <w:gridCol w:w="607"/>
        <w:gridCol w:w="607"/>
        <w:gridCol w:w="607"/>
        <w:gridCol w:w="607"/>
        <w:gridCol w:w="735"/>
        <w:gridCol w:w="876"/>
        <w:gridCol w:w="607"/>
        <w:gridCol w:w="607"/>
        <w:gridCol w:w="671"/>
        <w:gridCol w:w="671"/>
      </w:tblGrid>
      <w:tr w:rsidR="00235E22" w:rsidRPr="00913DC0" w14:paraId="7B708286" w14:textId="54105AAE" w:rsidTr="00235E22">
        <w:trPr>
          <w:trHeight w:val="288"/>
          <w:jc w:val="center"/>
        </w:trPr>
        <w:tc>
          <w:tcPr>
            <w:tcW w:w="1519" w:type="dxa"/>
            <w:gridSpan w:val="2"/>
            <w:vMerge w:val="restart"/>
            <w:noWrap/>
            <w:hideMark/>
          </w:tcPr>
          <w:p w14:paraId="3634306F" w14:textId="1EDA8CFE" w:rsidR="00235E22" w:rsidRPr="00913DC0" w:rsidRDefault="00235E22" w:rsidP="00E22FBE">
            <w:pPr>
              <w:overflowPunct/>
              <w:autoSpaceDE/>
              <w:autoSpaceDN/>
              <w:adjustRightInd/>
              <w:spacing w:after="0"/>
              <w:jc w:val="center"/>
              <w:textAlignment w:val="auto"/>
              <w:rPr>
                <w:rFonts w:ascii="Calibri" w:hAnsi="Calibri"/>
                <w:b/>
                <w:color w:val="000000"/>
              </w:rPr>
            </w:pPr>
            <w:r w:rsidRPr="003E3052">
              <w:rPr>
                <w:rFonts w:ascii="Calibri" w:hAnsi="Calibri"/>
                <w:b/>
                <w:color w:val="000000"/>
              </w:rPr>
              <w:t>C</w:t>
            </w:r>
            <w:r w:rsidRPr="00913DC0">
              <w:rPr>
                <w:rFonts w:ascii="Calibri" w:hAnsi="Calibri"/>
                <w:b/>
                <w:color w:val="000000"/>
              </w:rPr>
              <w:t>ases</w:t>
            </w:r>
          </w:p>
        </w:tc>
        <w:tc>
          <w:tcPr>
            <w:tcW w:w="843" w:type="dxa"/>
            <w:vMerge w:val="restart"/>
            <w:noWrap/>
            <w:hideMark/>
          </w:tcPr>
          <w:p w14:paraId="0B32EFFD" w14:textId="77777777" w:rsidR="00235E22" w:rsidRPr="00913DC0" w:rsidRDefault="00235E22" w:rsidP="00E22FBE">
            <w:pPr>
              <w:overflowPunct/>
              <w:autoSpaceDE/>
              <w:autoSpaceDN/>
              <w:adjustRightInd/>
              <w:spacing w:after="0"/>
              <w:jc w:val="center"/>
              <w:textAlignment w:val="auto"/>
              <w:rPr>
                <w:rFonts w:ascii="Calibri" w:hAnsi="Calibri"/>
                <w:b/>
                <w:color w:val="000000"/>
              </w:rPr>
            </w:pPr>
            <w:r w:rsidRPr="00913DC0">
              <w:rPr>
                <w:rFonts w:ascii="Calibri" w:hAnsi="Calibri"/>
                <w:b/>
                <w:color w:val="000000"/>
              </w:rPr>
              <w:t>NS01</w:t>
            </w:r>
          </w:p>
        </w:tc>
        <w:tc>
          <w:tcPr>
            <w:tcW w:w="1214" w:type="dxa"/>
            <w:gridSpan w:val="2"/>
            <w:noWrap/>
            <w:hideMark/>
          </w:tcPr>
          <w:p w14:paraId="72340D98" w14:textId="77777777" w:rsidR="00235E22" w:rsidRPr="003E3052" w:rsidRDefault="00235E22" w:rsidP="00FA3D91">
            <w:pPr>
              <w:overflowPunct/>
              <w:autoSpaceDE/>
              <w:autoSpaceDN/>
              <w:adjustRightInd/>
              <w:spacing w:after="0"/>
              <w:jc w:val="center"/>
              <w:textAlignment w:val="auto"/>
              <w:rPr>
                <w:rFonts w:ascii="Calibri" w:hAnsi="Calibri"/>
                <w:b/>
                <w:color w:val="000000"/>
              </w:rPr>
            </w:pPr>
            <w:proofErr w:type="spellStart"/>
            <w:r w:rsidRPr="00913DC0">
              <w:rPr>
                <w:rFonts w:ascii="Calibri" w:hAnsi="Calibri"/>
                <w:b/>
                <w:color w:val="000000"/>
              </w:rPr>
              <w:t>Pmax</w:t>
            </w:r>
            <w:proofErr w:type="spellEnd"/>
          </w:p>
          <w:p w14:paraId="3C2D7256" w14:textId="51FA72C9" w:rsidR="00235E22" w:rsidRPr="00913DC0" w:rsidRDefault="00235E22" w:rsidP="00E22FBE">
            <w:pPr>
              <w:overflowPunct/>
              <w:autoSpaceDE/>
              <w:autoSpaceDN/>
              <w:adjustRightInd/>
              <w:spacing w:after="0"/>
              <w:jc w:val="center"/>
              <w:textAlignment w:val="auto"/>
              <w:rPr>
                <w:rFonts w:ascii="Calibri" w:hAnsi="Calibri"/>
                <w:b/>
                <w:color w:val="000000"/>
              </w:rPr>
            </w:pPr>
            <w:r w:rsidRPr="003E3052">
              <w:rPr>
                <w:rFonts w:ascii="Calibri" w:hAnsi="Calibri"/>
                <w:b/>
                <w:color w:val="000000"/>
              </w:rPr>
              <w:t>[</w:t>
            </w:r>
            <w:proofErr w:type="spellStart"/>
            <w:r w:rsidRPr="003E3052">
              <w:rPr>
                <w:rFonts w:ascii="Calibri" w:hAnsi="Calibri"/>
                <w:b/>
                <w:color w:val="000000"/>
              </w:rPr>
              <w:t>dBm</w:t>
            </w:r>
            <w:proofErr w:type="spellEnd"/>
            <w:r w:rsidRPr="003E3052">
              <w:rPr>
                <w:rFonts w:ascii="Calibri" w:hAnsi="Calibri"/>
                <w:b/>
                <w:color w:val="000000"/>
              </w:rPr>
              <w:t>]</w:t>
            </w:r>
          </w:p>
        </w:tc>
        <w:tc>
          <w:tcPr>
            <w:tcW w:w="1214" w:type="dxa"/>
            <w:gridSpan w:val="2"/>
            <w:noWrap/>
            <w:hideMark/>
          </w:tcPr>
          <w:p w14:paraId="2ADAB571" w14:textId="3A894FAA" w:rsidR="00235E22" w:rsidRPr="003E3052" w:rsidRDefault="00235E22" w:rsidP="00FA3D91">
            <w:pPr>
              <w:overflowPunct/>
              <w:autoSpaceDE/>
              <w:autoSpaceDN/>
              <w:adjustRightInd/>
              <w:spacing w:after="0"/>
              <w:jc w:val="center"/>
              <w:textAlignment w:val="auto"/>
              <w:rPr>
                <w:rFonts w:ascii="Calibri" w:hAnsi="Calibri"/>
                <w:b/>
                <w:color w:val="000000"/>
              </w:rPr>
            </w:pPr>
            <w:r w:rsidRPr="003E3052">
              <w:rPr>
                <w:rFonts w:ascii="Calibri" w:hAnsi="Calibri"/>
                <w:b/>
                <w:color w:val="000000"/>
              </w:rPr>
              <w:t xml:space="preserve">PC2 </w:t>
            </w:r>
            <w:r w:rsidRPr="00913DC0">
              <w:rPr>
                <w:rFonts w:ascii="Calibri" w:hAnsi="Calibri"/>
                <w:b/>
                <w:color w:val="000000"/>
              </w:rPr>
              <w:t>MPR</w:t>
            </w:r>
          </w:p>
          <w:p w14:paraId="1D7EA2C4" w14:textId="236F82B3" w:rsidR="00235E22" w:rsidRPr="00913DC0" w:rsidRDefault="00235E22" w:rsidP="00E22FBE">
            <w:pPr>
              <w:overflowPunct/>
              <w:autoSpaceDE/>
              <w:autoSpaceDN/>
              <w:adjustRightInd/>
              <w:spacing w:after="0"/>
              <w:jc w:val="center"/>
              <w:textAlignment w:val="auto"/>
              <w:rPr>
                <w:rFonts w:ascii="Calibri" w:hAnsi="Calibri"/>
                <w:b/>
                <w:color w:val="000000"/>
              </w:rPr>
            </w:pPr>
            <w:r w:rsidRPr="003E3052">
              <w:rPr>
                <w:rFonts w:ascii="Calibri" w:hAnsi="Calibri"/>
                <w:b/>
                <w:color w:val="000000"/>
              </w:rPr>
              <w:t>[dB]</w:t>
            </w:r>
          </w:p>
        </w:tc>
        <w:tc>
          <w:tcPr>
            <w:tcW w:w="735" w:type="dxa"/>
            <w:vMerge w:val="restart"/>
          </w:tcPr>
          <w:p w14:paraId="3992998E" w14:textId="77777777" w:rsidR="00235E22" w:rsidRPr="003E3052" w:rsidRDefault="00235E22" w:rsidP="00FC63C6">
            <w:pPr>
              <w:overflowPunct/>
              <w:autoSpaceDE/>
              <w:autoSpaceDN/>
              <w:adjustRightInd/>
              <w:spacing w:after="0"/>
              <w:jc w:val="center"/>
              <w:textAlignment w:val="auto"/>
              <w:rPr>
                <w:rFonts w:ascii="Calibri" w:hAnsi="Calibri"/>
                <w:b/>
                <w:color w:val="000000"/>
              </w:rPr>
            </w:pPr>
            <w:r w:rsidRPr="003E3052">
              <w:rPr>
                <w:rFonts w:ascii="Calibri" w:hAnsi="Calibri"/>
                <w:b/>
                <w:color w:val="000000"/>
              </w:rPr>
              <w:t>PC3</w:t>
            </w:r>
          </w:p>
          <w:p w14:paraId="6AF162A2" w14:textId="4819BCCB" w:rsidR="00235E22" w:rsidRPr="003E3052" w:rsidRDefault="00235E22" w:rsidP="00FC63C6">
            <w:pPr>
              <w:overflowPunct/>
              <w:autoSpaceDE/>
              <w:autoSpaceDN/>
              <w:adjustRightInd/>
              <w:spacing w:after="0"/>
              <w:jc w:val="center"/>
              <w:textAlignment w:val="auto"/>
              <w:rPr>
                <w:rFonts w:ascii="Calibri" w:hAnsi="Calibri"/>
                <w:b/>
                <w:color w:val="000000"/>
              </w:rPr>
            </w:pPr>
            <w:r w:rsidRPr="00913DC0">
              <w:rPr>
                <w:rFonts w:ascii="Calibri" w:hAnsi="Calibri"/>
                <w:b/>
                <w:color w:val="000000"/>
              </w:rPr>
              <w:t>MPR</w:t>
            </w:r>
          </w:p>
          <w:p w14:paraId="15385D95" w14:textId="4961DEBB" w:rsidR="00235E22" w:rsidRPr="003E3052" w:rsidRDefault="00235E22" w:rsidP="00FC63C6">
            <w:pPr>
              <w:overflowPunct/>
              <w:autoSpaceDE/>
              <w:autoSpaceDN/>
              <w:adjustRightInd/>
              <w:spacing w:after="0"/>
              <w:jc w:val="center"/>
              <w:textAlignment w:val="auto"/>
              <w:rPr>
                <w:rFonts w:ascii="Calibri" w:hAnsi="Calibri"/>
                <w:b/>
                <w:color w:val="000000"/>
              </w:rPr>
            </w:pPr>
            <w:r w:rsidRPr="003E3052">
              <w:rPr>
                <w:rFonts w:ascii="Calibri" w:hAnsi="Calibri"/>
                <w:b/>
                <w:color w:val="000000"/>
              </w:rPr>
              <w:t>[dB]</w:t>
            </w:r>
          </w:p>
        </w:tc>
        <w:tc>
          <w:tcPr>
            <w:tcW w:w="876" w:type="dxa"/>
            <w:vMerge w:val="restart"/>
            <w:noWrap/>
            <w:hideMark/>
          </w:tcPr>
          <w:p w14:paraId="1E36EACF" w14:textId="4FA55846" w:rsidR="00235E22" w:rsidRPr="00913DC0" w:rsidRDefault="00235E22" w:rsidP="00E22FBE">
            <w:pPr>
              <w:overflowPunct/>
              <w:autoSpaceDE/>
              <w:autoSpaceDN/>
              <w:adjustRightInd/>
              <w:spacing w:after="0"/>
              <w:jc w:val="center"/>
              <w:textAlignment w:val="auto"/>
              <w:rPr>
                <w:rFonts w:ascii="Calibri" w:hAnsi="Calibri"/>
                <w:b/>
                <w:color w:val="000000"/>
              </w:rPr>
            </w:pPr>
            <w:r w:rsidRPr="00913DC0">
              <w:rPr>
                <w:rFonts w:ascii="Calibri" w:hAnsi="Calibri"/>
                <w:b/>
                <w:color w:val="000000"/>
              </w:rPr>
              <w:t>NS04</w:t>
            </w:r>
          </w:p>
        </w:tc>
        <w:tc>
          <w:tcPr>
            <w:tcW w:w="1214" w:type="dxa"/>
            <w:gridSpan w:val="2"/>
            <w:noWrap/>
            <w:hideMark/>
          </w:tcPr>
          <w:p w14:paraId="5B7E006A" w14:textId="77777777" w:rsidR="00235E22" w:rsidRPr="003E3052" w:rsidRDefault="00235E22" w:rsidP="00E22FBE">
            <w:pPr>
              <w:overflowPunct/>
              <w:autoSpaceDE/>
              <w:autoSpaceDN/>
              <w:adjustRightInd/>
              <w:spacing w:after="0"/>
              <w:jc w:val="center"/>
              <w:textAlignment w:val="auto"/>
              <w:rPr>
                <w:rFonts w:ascii="Calibri" w:hAnsi="Calibri"/>
                <w:b/>
                <w:color w:val="000000"/>
              </w:rPr>
            </w:pPr>
            <w:proofErr w:type="spellStart"/>
            <w:r w:rsidRPr="00913DC0">
              <w:rPr>
                <w:rFonts w:ascii="Calibri" w:hAnsi="Calibri"/>
                <w:b/>
                <w:color w:val="000000"/>
              </w:rPr>
              <w:t>Pmax</w:t>
            </w:r>
            <w:proofErr w:type="spellEnd"/>
          </w:p>
          <w:p w14:paraId="3BDAC41E" w14:textId="0BE2C15F" w:rsidR="00235E22" w:rsidRPr="00913DC0" w:rsidRDefault="00235E22" w:rsidP="00E22FBE">
            <w:pPr>
              <w:overflowPunct/>
              <w:autoSpaceDE/>
              <w:autoSpaceDN/>
              <w:adjustRightInd/>
              <w:spacing w:after="0"/>
              <w:jc w:val="center"/>
              <w:textAlignment w:val="auto"/>
              <w:rPr>
                <w:rFonts w:ascii="Calibri" w:hAnsi="Calibri"/>
                <w:b/>
                <w:color w:val="000000"/>
              </w:rPr>
            </w:pPr>
            <w:r w:rsidRPr="003E3052">
              <w:rPr>
                <w:rFonts w:ascii="Calibri" w:hAnsi="Calibri"/>
                <w:b/>
                <w:color w:val="000000"/>
              </w:rPr>
              <w:t>[</w:t>
            </w:r>
            <w:proofErr w:type="spellStart"/>
            <w:r w:rsidRPr="003E3052">
              <w:rPr>
                <w:rFonts w:ascii="Calibri" w:hAnsi="Calibri"/>
                <w:b/>
                <w:color w:val="000000"/>
              </w:rPr>
              <w:t>dBm</w:t>
            </w:r>
            <w:proofErr w:type="spellEnd"/>
            <w:r w:rsidRPr="003E3052">
              <w:rPr>
                <w:rFonts w:ascii="Calibri" w:hAnsi="Calibri"/>
                <w:b/>
                <w:color w:val="000000"/>
              </w:rPr>
              <w:t>]</w:t>
            </w:r>
          </w:p>
        </w:tc>
        <w:tc>
          <w:tcPr>
            <w:tcW w:w="1342" w:type="dxa"/>
            <w:gridSpan w:val="2"/>
            <w:noWrap/>
            <w:hideMark/>
          </w:tcPr>
          <w:p w14:paraId="0BF380C3" w14:textId="765E7329" w:rsidR="00235E22" w:rsidRPr="003E3052" w:rsidRDefault="00235E22" w:rsidP="00795170">
            <w:pPr>
              <w:overflowPunct/>
              <w:autoSpaceDE/>
              <w:autoSpaceDN/>
              <w:adjustRightInd/>
              <w:spacing w:after="0"/>
              <w:jc w:val="center"/>
              <w:textAlignment w:val="auto"/>
              <w:rPr>
                <w:rFonts w:ascii="Calibri" w:hAnsi="Calibri"/>
                <w:b/>
                <w:color w:val="000000"/>
              </w:rPr>
            </w:pPr>
            <w:r w:rsidRPr="003E3052">
              <w:rPr>
                <w:rFonts w:ascii="Calibri" w:hAnsi="Calibri"/>
                <w:b/>
                <w:color w:val="000000"/>
              </w:rPr>
              <w:t>PC2 A-</w:t>
            </w:r>
            <w:r w:rsidRPr="00913DC0">
              <w:rPr>
                <w:rFonts w:ascii="Calibri" w:hAnsi="Calibri"/>
                <w:b/>
                <w:color w:val="000000"/>
              </w:rPr>
              <w:t>MPR</w:t>
            </w:r>
          </w:p>
          <w:p w14:paraId="3F1DF5EE" w14:textId="179F75FC" w:rsidR="00235E22" w:rsidRPr="00913DC0" w:rsidRDefault="00235E22" w:rsidP="00E22FBE">
            <w:pPr>
              <w:overflowPunct/>
              <w:autoSpaceDE/>
              <w:autoSpaceDN/>
              <w:adjustRightInd/>
              <w:spacing w:after="0"/>
              <w:jc w:val="center"/>
              <w:textAlignment w:val="auto"/>
              <w:rPr>
                <w:rFonts w:ascii="Calibri" w:hAnsi="Calibri"/>
                <w:b/>
                <w:color w:val="000000"/>
              </w:rPr>
            </w:pPr>
            <w:r w:rsidRPr="003E3052">
              <w:rPr>
                <w:rFonts w:ascii="Calibri" w:hAnsi="Calibri"/>
                <w:b/>
                <w:color w:val="000000"/>
              </w:rPr>
              <w:t>[dB]</w:t>
            </w:r>
          </w:p>
        </w:tc>
      </w:tr>
      <w:tr w:rsidR="00235E22" w:rsidRPr="00913DC0" w14:paraId="335D8E75" w14:textId="772858B9" w:rsidTr="00235E22">
        <w:trPr>
          <w:trHeight w:val="288"/>
          <w:jc w:val="center"/>
        </w:trPr>
        <w:tc>
          <w:tcPr>
            <w:tcW w:w="1519" w:type="dxa"/>
            <w:gridSpan w:val="2"/>
            <w:vMerge/>
            <w:hideMark/>
          </w:tcPr>
          <w:p w14:paraId="264C516E" w14:textId="20A92DB3" w:rsidR="00235E22" w:rsidRPr="00913DC0" w:rsidRDefault="00235E22" w:rsidP="00E22FBE">
            <w:pPr>
              <w:overflowPunct/>
              <w:autoSpaceDE/>
              <w:autoSpaceDN/>
              <w:adjustRightInd/>
              <w:spacing w:after="0"/>
              <w:jc w:val="center"/>
              <w:textAlignment w:val="auto"/>
              <w:rPr>
                <w:rFonts w:ascii="Calibri" w:hAnsi="Calibri"/>
                <w:b/>
                <w:color w:val="000000"/>
              </w:rPr>
            </w:pPr>
          </w:p>
        </w:tc>
        <w:tc>
          <w:tcPr>
            <w:tcW w:w="843" w:type="dxa"/>
            <w:vMerge/>
            <w:hideMark/>
          </w:tcPr>
          <w:p w14:paraId="58DCC173" w14:textId="77777777" w:rsidR="00235E22" w:rsidRPr="00913DC0" w:rsidRDefault="00235E22" w:rsidP="00E22FBE">
            <w:pPr>
              <w:overflowPunct/>
              <w:autoSpaceDE/>
              <w:autoSpaceDN/>
              <w:adjustRightInd/>
              <w:spacing w:after="0"/>
              <w:jc w:val="center"/>
              <w:textAlignment w:val="auto"/>
              <w:rPr>
                <w:rFonts w:ascii="Calibri" w:hAnsi="Calibri"/>
                <w:b/>
                <w:color w:val="000000"/>
              </w:rPr>
            </w:pPr>
          </w:p>
        </w:tc>
        <w:tc>
          <w:tcPr>
            <w:tcW w:w="607" w:type="dxa"/>
            <w:noWrap/>
            <w:hideMark/>
          </w:tcPr>
          <w:p w14:paraId="27F64679" w14:textId="77777777" w:rsidR="00235E22" w:rsidRPr="00913DC0" w:rsidRDefault="00235E22" w:rsidP="00E22FBE">
            <w:pPr>
              <w:overflowPunct/>
              <w:autoSpaceDE/>
              <w:autoSpaceDN/>
              <w:adjustRightInd/>
              <w:spacing w:after="0"/>
              <w:jc w:val="center"/>
              <w:textAlignment w:val="auto"/>
              <w:rPr>
                <w:rFonts w:ascii="Calibri" w:hAnsi="Calibri"/>
                <w:b/>
                <w:color w:val="000000"/>
              </w:rPr>
            </w:pPr>
            <w:r w:rsidRPr="00913DC0">
              <w:rPr>
                <w:rFonts w:ascii="Calibri" w:hAnsi="Calibri"/>
                <w:b/>
                <w:color w:val="000000"/>
              </w:rPr>
              <w:t>HV</w:t>
            </w:r>
          </w:p>
        </w:tc>
        <w:tc>
          <w:tcPr>
            <w:tcW w:w="607" w:type="dxa"/>
            <w:noWrap/>
            <w:hideMark/>
          </w:tcPr>
          <w:p w14:paraId="2DFA66CD" w14:textId="77777777" w:rsidR="00235E22" w:rsidRPr="00913DC0" w:rsidRDefault="00235E22" w:rsidP="00E22FBE">
            <w:pPr>
              <w:overflowPunct/>
              <w:autoSpaceDE/>
              <w:autoSpaceDN/>
              <w:adjustRightInd/>
              <w:spacing w:after="0"/>
              <w:jc w:val="center"/>
              <w:textAlignment w:val="auto"/>
              <w:rPr>
                <w:rFonts w:ascii="Calibri" w:hAnsi="Calibri"/>
                <w:b/>
                <w:color w:val="000000"/>
              </w:rPr>
            </w:pPr>
            <w:r w:rsidRPr="00913DC0">
              <w:rPr>
                <w:rFonts w:ascii="Calibri" w:hAnsi="Calibri"/>
                <w:b/>
                <w:color w:val="000000"/>
              </w:rPr>
              <w:t>LV</w:t>
            </w:r>
          </w:p>
        </w:tc>
        <w:tc>
          <w:tcPr>
            <w:tcW w:w="607" w:type="dxa"/>
            <w:noWrap/>
            <w:hideMark/>
          </w:tcPr>
          <w:p w14:paraId="1DF0248D" w14:textId="77777777" w:rsidR="00235E22" w:rsidRPr="00913DC0" w:rsidRDefault="00235E22" w:rsidP="00E22FBE">
            <w:pPr>
              <w:overflowPunct/>
              <w:autoSpaceDE/>
              <w:autoSpaceDN/>
              <w:adjustRightInd/>
              <w:spacing w:after="0"/>
              <w:jc w:val="center"/>
              <w:textAlignment w:val="auto"/>
              <w:rPr>
                <w:rFonts w:ascii="Calibri" w:hAnsi="Calibri"/>
                <w:b/>
                <w:color w:val="000000"/>
              </w:rPr>
            </w:pPr>
            <w:r w:rsidRPr="00913DC0">
              <w:rPr>
                <w:rFonts w:ascii="Calibri" w:hAnsi="Calibri"/>
                <w:b/>
                <w:color w:val="000000"/>
              </w:rPr>
              <w:t>HV</w:t>
            </w:r>
          </w:p>
        </w:tc>
        <w:tc>
          <w:tcPr>
            <w:tcW w:w="607" w:type="dxa"/>
            <w:noWrap/>
            <w:hideMark/>
          </w:tcPr>
          <w:p w14:paraId="20B6FB6F" w14:textId="77777777" w:rsidR="00235E22" w:rsidRPr="00913DC0" w:rsidRDefault="00235E22" w:rsidP="00E22FBE">
            <w:pPr>
              <w:overflowPunct/>
              <w:autoSpaceDE/>
              <w:autoSpaceDN/>
              <w:adjustRightInd/>
              <w:spacing w:after="0"/>
              <w:jc w:val="center"/>
              <w:textAlignment w:val="auto"/>
              <w:rPr>
                <w:rFonts w:ascii="Calibri" w:hAnsi="Calibri"/>
                <w:b/>
                <w:color w:val="000000"/>
              </w:rPr>
            </w:pPr>
            <w:r w:rsidRPr="00913DC0">
              <w:rPr>
                <w:rFonts w:ascii="Calibri" w:hAnsi="Calibri"/>
                <w:b/>
                <w:color w:val="000000"/>
              </w:rPr>
              <w:t>LV</w:t>
            </w:r>
          </w:p>
        </w:tc>
        <w:tc>
          <w:tcPr>
            <w:tcW w:w="735" w:type="dxa"/>
            <w:vMerge/>
          </w:tcPr>
          <w:p w14:paraId="5594BC2A" w14:textId="77777777" w:rsidR="00235E22" w:rsidRPr="003E3052" w:rsidRDefault="00235E22" w:rsidP="00E22FBE">
            <w:pPr>
              <w:overflowPunct/>
              <w:autoSpaceDE/>
              <w:autoSpaceDN/>
              <w:adjustRightInd/>
              <w:spacing w:after="0"/>
              <w:jc w:val="center"/>
              <w:textAlignment w:val="auto"/>
              <w:rPr>
                <w:rFonts w:ascii="Calibri" w:hAnsi="Calibri"/>
                <w:b/>
                <w:color w:val="000000"/>
              </w:rPr>
            </w:pPr>
          </w:p>
        </w:tc>
        <w:tc>
          <w:tcPr>
            <w:tcW w:w="876" w:type="dxa"/>
            <w:vMerge/>
            <w:hideMark/>
          </w:tcPr>
          <w:p w14:paraId="26D88C5F" w14:textId="2E6AE30A" w:rsidR="00235E22" w:rsidRPr="00913DC0" w:rsidRDefault="00235E22" w:rsidP="00E22FBE">
            <w:pPr>
              <w:overflowPunct/>
              <w:autoSpaceDE/>
              <w:autoSpaceDN/>
              <w:adjustRightInd/>
              <w:spacing w:after="0"/>
              <w:jc w:val="center"/>
              <w:textAlignment w:val="auto"/>
              <w:rPr>
                <w:rFonts w:ascii="Calibri" w:hAnsi="Calibri"/>
                <w:b/>
                <w:color w:val="000000"/>
              </w:rPr>
            </w:pPr>
          </w:p>
        </w:tc>
        <w:tc>
          <w:tcPr>
            <w:tcW w:w="607" w:type="dxa"/>
            <w:noWrap/>
            <w:hideMark/>
          </w:tcPr>
          <w:p w14:paraId="5C8DD115" w14:textId="77777777" w:rsidR="00235E22" w:rsidRPr="00913DC0" w:rsidRDefault="00235E22" w:rsidP="00E22FBE">
            <w:pPr>
              <w:overflowPunct/>
              <w:autoSpaceDE/>
              <w:autoSpaceDN/>
              <w:adjustRightInd/>
              <w:spacing w:after="0"/>
              <w:jc w:val="center"/>
              <w:textAlignment w:val="auto"/>
              <w:rPr>
                <w:rFonts w:ascii="Calibri" w:hAnsi="Calibri"/>
                <w:b/>
                <w:color w:val="000000"/>
              </w:rPr>
            </w:pPr>
            <w:r w:rsidRPr="00913DC0">
              <w:rPr>
                <w:rFonts w:ascii="Calibri" w:hAnsi="Calibri"/>
                <w:b/>
                <w:color w:val="000000"/>
              </w:rPr>
              <w:t>HV</w:t>
            </w:r>
          </w:p>
        </w:tc>
        <w:tc>
          <w:tcPr>
            <w:tcW w:w="607" w:type="dxa"/>
            <w:noWrap/>
            <w:hideMark/>
          </w:tcPr>
          <w:p w14:paraId="479AF1CA" w14:textId="77777777" w:rsidR="00235E22" w:rsidRPr="00913DC0" w:rsidRDefault="00235E22" w:rsidP="00E22FBE">
            <w:pPr>
              <w:overflowPunct/>
              <w:autoSpaceDE/>
              <w:autoSpaceDN/>
              <w:adjustRightInd/>
              <w:spacing w:after="0"/>
              <w:jc w:val="center"/>
              <w:textAlignment w:val="auto"/>
              <w:rPr>
                <w:rFonts w:ascii="Calibri" w:hAnsi="Calibri"/>
                <w:b/>
                <w:color w:val="000000"/>
              </w:rPr>
            </w:pPr>
            <w:r w:rsidRPr="00913DC0">
              <w:rPr>
                <w:rFonts w:ascii="Calibri" w:hAnsi="Calibri"/>
                <w:b/>
                <w:color w:val="000000"/>
              </w:rPr>
              <w:t>LV</w:t>
            </w:r>
          </w:p>
        </w:tc>
        <w:tc>
          <w:tcPr>
            <w:tcW w:w="671" w:type="dxa"/>
            <w:noWrap/>
            <w:hideMark/>
          </w:tcPr>
          <w:p w14:paraId="3603D857" w14:textId="77777777" w:rsidR="00235E22" w:rsidRPr="00913DC0" w:rsidRDefault="00235E22" w:rsidP="00E22FBE">
            <w:pPr>
              <w:overflowPunct/>
              <w:autoSpaceDE/>
              <w:autoSpaceDN/>
              <w:adjustRightInd/>
              <w:spacing w:after="0"/>
              <w:jc w:val="center"/>
              <w:textAlignment w:val="auto"/>
              <w:rPr>
                <w:rFonts w:ascii="Calibri" w:hAnsi="Calibri"/>
                <w:b/>
                <w:color w:val="000000"/>
              </w:rPr>
            </w:pPr>
            <w:r w:rsidRPr="00913DC0">
              <w:rPr>
                <w:rFonts w:ascii="Calibri" w:hAnsi="Calibri"/>
                <w:b/>
                <w:color w:val="000000"/>
              </w:rPr>
              <w:t>HV</w:t>
            </w:r>
          </w:p>
        </w:tc>
        <w:tc>
          <w:tcPr>
            <w:tcW w:w="671" w:type="dxa"/>
            <w:noWrap/>
            <w:hideMark/>
          </w:tcPr>
          <w:p w14:paraId="4C8F5FDD" w14:textId="77777777" w:rsidR="00235E22" w:rsidRPr="00913DC0" w:rsidRDefault="00235E22" w:rsidP="00E22FBE">
            <w:pPr>
              <w:overflowPunct/>
              <w:autoSpaceDE/>
              <w:autoSpaceDN/>
              <w:adjustRightInd/>
              <w:spacing w:after="0"/>
              <w:jc w:val="center"/>
              <w:textAlignment w:val="auto"/>
              <w:rPr>
                <w:rFonts w:ascii="Calibri" w:hAnsi="Calibri"/>
                <w:b/>
                <w:color w:val="000000"/>
              </w:rPr>
            </w:pPr>
            <w:r w:rsidRPr="00913DC0">
              <w:rPr>
                <w:rFonts w:ascii="Calibri" w:hAnsi="Calibri"/>
                <w:b/>
                <w:color w:val="000000"/>
              </w:rPr>
              <w:t>LV</w:t>
            </w:r>
          </w:p>
        </w:tc>
      </w:tr>
      <w:tr w:rsidR="00235E22" w:rsidRPr="00913DC0" w14:paraId="25307B07" w14:textId="007683C3" w:rsidTr="00235E22">
        <w:trPr>
          <w:trHeight w:val="288"/>
          <w:jc w:val="center"/>
        </w:trPr>
        <w:tc>
          <w:tcPr>
            <w:tcW w:w="959" w:type="dxa"/>
            <w:noWrap/>
            <w:hideMark/>
          </w:tcPr>
          <w:p w14:paraId="272EEAEF" w14:textId="66319833" w:rsidR="00235E22" w:rsidRPr="00913DC0" w:rsidRDefault="00235E22" w:rsidP="00E22FBE">
            <w:pPr>
              <w:overflowPunct/>
              <w:autoSpaceDE/>
              <w:autoSpaceDN/>
              <w:adjustRightInd/>
              <w:spacing w:after="0"/>
              <w:jc w:val="center"/>
              <w:textAlignment w:val="auto"/>
              <w:rPr>
                <w:rFonts w:ascii="Calibri" w:hAnsi="Calibri"/>
                <w:color w:val="000000"/>
              </w:rPr>
            </w:pPr>
            <w:r w:rsidRPr="003E3052">
              <w:rPr>
                <w:rFonts w:ascii="Calibri" w:hAnsi="Calibri"/>
                <w:color w:val="000000"/>
              </w:rPr>
              <w:t>Inner</w:t>
            </w:r>
          </w:p>
        </w:tc>
        <w:tc>
          <w:tcPr>
            <w:tcW w:w="560" w:type="dxa"/>
            <w:noWrap/>
            <w:hideMark/>
          </w:tcPr>
          <w:p w14:paraId="4DF790CA"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DFT</w:t>
            </w:r>
          </w:p>
        </w:tc>
        <w:tc>
          <w:tcPr>
            <w:tcW w:w="843" w:type="dxa"/>
            <w:noWrap/>
            <w:hideMark/>
          </w:tcPr>
          <w:p w14:paraId="2D7A778A"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S2H_I5</w:t>
            </w:r>
          </w:p>
        </w:tc>
        <w:tc>
          <w:tcPr>
            <w:tcW w:w="607" w:type="dxa"/>
            <w:noWrap/>
            <w:hideMark/>
          </w:tcPr>
          <w:p w14:paraId="4E48C106"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22.7</w:t>
            </w:r>
          </w:p>
        </w:tc>
        <w:tc>
          <w:tcPr>
            <w:tcW w:w="607" w:type="dxa"/>
            <w:noWrap/>
            <w:hideMark/>
          </w:tcPr>
          <w:p w14:paraId="5821DF7D" w14:textId="38330E85"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607" w:type="dxa"/>
            <w:noWrap/>
            <w:hideMark/>
          </w:tcPr>
          <w:p w14:paraId="5777CB63"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3.5</w:t>
            </w:r>
          </w:p>
        </w:tc>
        <w:tc>
          <w:tcPr>
            <w:tcW w:w="607" w:type="dxa"/>
            <w:noWrap/>
            <w:hideMark/>
          </w:tcPr>
          <w:p w14:paraId="29C285F5" w14:textId="19C0E068"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735" w:type="dxa"/>
          </w:tcPr>
          <w:p w14:paraId="10527883" w14:textId="342C1AF7" w:rsidR="00235E22" w:rsidRPr="003E3052" w:rsidRDefault="00235E22" w:rsidP="00FC63C6">
            <w:pPr>
              <w:overflowPunct/>
              <w:autoSpaceDE/>
              <w:autoSpaceDN/>
              <w:adjustRightInd/>
              <w:spacing w:after="0"/>
              <w:jc w:val="center"/>
              <w:textAlignment w:val="auto"/>
              <w:rPr>
                <w:rFonts w:ascii="Calibri" w:hAnsi="Calibri"/>
                <w:color w:val="000000"/>
              </w:rPr>
            </w:pPr>
            <w:r w:rsidRPr="003E3052">
              <w:rPr>
                <w:rFonts w:ascii="Calibri" w:hAnsi="Calibri"/>
                <w:color w:val="000000"/>
              </w:rPr>
              <w:t>2.5</w:t>
            </w:r>
          </w:p>
        </w:tc>
        <w:tc>
          <w:tcPr>
            <w:tcW w:w="876" w:type="dxa"/>
            <w:noWrap/>
            <w:hideMark/>
          </w:tcPr>
          <w:p w14:paraId="2699DE8C" w14:textId="460386AD"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I5-25</w:t>
            </w:r>
          </w:p>
        </w:tc>
        <w:tc>
          <w:tcPr>
            <w:tcW w:w="607" w:type="dxa"/>
            <w:noWrap/>
            <w:hideMark/>
          </w:tcPr>
          <w:p w14:paraId="77FB72D4"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17.3</w:t>
            </w:r>
          </w:p>
        </w:tc>
        <w:tc>
          <w:tcPr>
            <w:tcW w:w="607" w:type="dxa"/>
            <w:noWrap/>
            <w:hideMark/>
          </w:tcPr>
          <w:p w14:paraId="04712448" w14:textId="176DB253"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671" w:type="dxa"/>
            <w:noWrap/>
            <w:hideMark/>
          </w:tcPr>
          <w:p w14:paraId="712F93FA" w14:textId="1D2A8A83" w:rsidR="00235E22" w:rsidRPr="00913DC0" w:rsidRDefault="00235E22" w:rsidP="00E22FBE">
            <w:pPr>
              <w:overflowPunct/>
              <w:autoSpaceDE/>
              <w:autoSpaceDN/>
              <w:adjustRightInd/>
              <w:spacing w:after="0"/>
              <w:jc w:val="center"/>
              <w:textAlignment w:val="auto"/>
              <w:rPr>
                <w:rFonts w:ascii="Calibri" w:hAnsi="Calibri"/>
                <w:color w:val="000000"/>
              </w:rPr>
            </w:pPr>
            <w:r>
              <w:rPr>
                <w:rFonts w:ascii="Calibri" w:hAnsi="Calibri"/>
                <w:color w:val="000000"/>
              </w:rPr>
              <w:t>8</w:t>
            </w:r>
          </w:p>
        </w:tc>
        <w:tc>
          <w:tcPr>
            <w:tcW w:w="671" w:type="dxa"/>
            <w:noWrap/>
            <w:hideMark/>
          </w:tcPr>
          <w:p w14:paraId="494CDFBF" w14:textId="665EEAFF" w:rsidR="00235E22" w:rsidRPr="00913DC0" w:rsidRDefault="00235E22" w:rsidP="00E22FBE">
            <w:pPr>
              <w:overflowPunct/>
              <w:autoSpaceDE/>
              <w:autoSpaceDN/>
              <w:adjustRightInd/>
              <w:spacing w:after="0"/>
              <w:jc w:val="center"/>
              <w:textAlignment w:val="auto"/>
              <w:rPr>
                <w:rFonts w:ascii="Calibri" w:hAnsi="Calibri"/>
                <w:color w:val="000000"/>
              </w:rPr>
            </w:pPr>
          </w:p>
        </w:tc>
      </w:tr>
      <w:tr w:rsidR="00235E22" w:rsidRPr="00913DC0" w14:paraId="369247BE" w14:textId="4BC92478" w:rsidTr="00235E22">
        <w:trPr>
          <w:trHeight w:val="288"/>
          <w:jc w:val="center"/>
        </w:trPr>
        <w:tc>
          <w:tcPr>
            <w:tcW w:w="959" w:type="dxa"/>
            <w:noWrap/>
            <w:hideMark/>
          </w:tcPr>
          <w:p w14:paraId="4FEC90D0" w14:textId="414324F9" w:rsidR="00235E22" w:rsidRPr="00913DC0" w:rsidRDefault="00235E22" w:rsidP="00E22FBE">
            <w:pPr>
              <w:overflowPunct/>
              <w:autoSpaceDE/>
              <w:autoSpaceDN/>
              <w:adjustRightInd/>
              <w:spacing w:after="0"/>
              <w:jc w:val="center"/>
              <w:textAlignment w:val="auto"/>
              <w:rPr>
                <w:rFonts w:ascii="Calibri" w:hAnsi="Calibri"/>
                <w:color w:val="000000"/>
              </w:rPr>
            </w:pPr>
            <w:r w:rsidRPr="003E3052">
              <w:rPr>
                <w:rFonts w:ascii="Calibri" w:hAnsi="Calibri"/>
                <w:color w:val="000000"/>
              </w:rPr>
              <w:t>Inner</w:t>
            </w:r>
            <w:r w:rsidRPr="00D62DCC">
              <w:rPr>
                <w:rFonts w:ascii="Calibri" w:hAnsi="Calibri"/>
                <w:color w:val="000000"/>
              </w:rPr>
              <w:t>+</w:t>
            </w:r>
          </w:p>
        </w:tc>
        <w:tc>
          <w:tcPr>
            <w:tcW w:w="560" w:type="dxa"/>
            <w:noWrap/>
            <w:hideMark/>
          </w:tcPr>
          <w:p w14:paraId="417C4A2A"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DFT</w:t>
            </w:r>
          </w:p>
        </w:tc>
        <w:tc>
          <w:tcPr>
            <w:tcW w:w="843" w:type="dxa"/>
            <w:noWrap/>
            <w:hideMark/>
          </w:tcPr>
          <w:p w14:paraId="5835F57D"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S2L_I5</w:t>
            </w:r>
          </w:p>
        </w:tc>
        <w:tc>
          <w:tcPr>
            <w:tcW w:w="607" w:type="dxa"/>
            <w:noWrap/>
            <w:hideMark/>
          </w:tcPr>
          <w:p w14:paraId="29179A26"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21.5</w:t>
            </w:r>
          </w:p>
        </w:tc>
        <w:tc>
          <w:tcPr>
            <w:tcW w:w="607" w:type="dxa"/>
            <w:noWrap/>
            <w:hideMark/>
          </w:tcPr>
          <w:p w14:paraId="09816033" w14:textId="626A3876"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607" w:type="dxa"/>
            <w:noWrap/>
            <w:hideMark/>
          </w:tcPr>
          <w:p w14:paraId="6AB57822"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4.5</w:t>
            </w:r>
          </w:p>
        </w:tc>
        <w:tc>
          <w:tcPr>
            <w:tcW w:w="607" w:type="dxa"/>
            <w:noWrap/>
            <w:hideMark/>
          </w:tcPr>
          <w:p w14:paraId="4ECEA564" w14:textId="2005026D"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735" w:type="dxa"/>
            <w:vMerge w:val="restart"/>
          </w:tcPr>
          <w:p w14:paraId="7E0F337B" w14:textId="207C334A" w:rsidR="00235E22" w:rsidRPr="003E3052" w:rsidRDefault="00235E22" w:rsidP="00E22FBE">
            <w:pPr>
              <w:overflowPunct/>
              <w:autoSpaceDE/>
              <w:autoSpaceDN/>
              <w:adjustRightInd/>
              <w:spacing w:after="0"/>
              <w:jc w:val="center"/>
              <w:textAlignment w:val="auto"/>
              <w:rPr>
                <w:rFonts w:ascii="Calibri" w:hAnsi="Calibri"/>
                <w:color w:val="000000"/>
              </w:rPr>
            </w:pPr>
            <w:r w:rsidRPr="003E3052">
              <w:rPr>
                <w:rFonts w:ascii="Calibri" w:hAnsi="Calibri"/>
                <w:color w:val="000000"/>
              </w:rPr>
              <w:t>6</w:t>
            </w:r>
          </w:p>
        </w:tc>
        <w:tc>
          <w:tcPr>
            <w:tcW w:w="876" w:type="dxa"/>
            <w:noWrap/>
            <w:hideMark/>
          </w:tcPr>
          <w:p w14:paraId="68ABBC86" w14:textId="46E5EF03"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I5-25</w:t>
            </w:r>
          </w:p>
        </w:tc>
        <w:tc>
          <w:tcPr>
            <w:tcW w:w="607" w:type="dxa"/>
            <w:noWrap/>
            <w:hideMark/>
          </w:tcPr>
          <w:p w14:paraId="1F6C60A9"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17.4</w:t>
            </w:r>
          </w:p>
        </w:tc>
        <w:tc>
          <w:tcPr>
            <w:tcW w:w="607" w:type="dxa"/>
            <w:noWrap/>
            <w:hideMark/>
          </w:tcPr>
          <w:p w14:paraId="1BC4F02A" w14:textId="7B3AD73A"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671" w:type="dxa"/>
            <w:noWrap/>
            <w:hideMark/>
          </w:tcPr>
          <w:p w14:paraId="0C27CF2D" w14:textId="53016AF3" w:rsidR="00235E22" w:rsidRPr="00913DC0" w:rsidRDefault="00235E22" w:rsidP="00E22FBE">
            <w:pPr>
              <w:overflowPunct/>
              <w:autoSpaceDE/>
              <w:autoSpaceDN/>
              <w:adjustRightInd/>
              <w:spacing w:after="0"/>
              <w:jc w:val="center"/>
              <w:textAlignment w:val="auto"/>
              <w:rPr>
                <w:rFonts w:ascii="Calibri" w:hAnsi="Calibri"/>
                <w:color w:val="000000"/>
              </w:rPr>
            </w:pPr>
            <w:r>
              <w:rPr>
                <w:rFonts w:ascii="Calibri" w:hAnsi="Calibri"/>
                <w:color w:val="000000"/>
              </w:rPr>
              <w:t>8</w:t>
            </w:r>
          </w:p>
        </w:tc>
        <w:tc>
          <w:tcPr>
            <w:tcW w:w="671" w:type="dxa"/>
            <w:noWrap/>
            <w:hideMark/>
          </w:tcPr>
          <w:p w14:paraId="6E43B561" w14:textId="1B5FBECA" w:rsidR="00235E22" w:rsidRPr="00913DC0" w:rsidRDefault="00235E22" w:rsidP="00E22FBE">
            <w:pPr>
              <w:overflowPunct/>
              <w:autoSpaceDE/>
              <w:autoSpaceDN/>
              <w:adjustRightInd/>
              <w:spacing w:after="0"/>
              <w:jc w:val="center"/>
              <w:textAlignment w:val="auto"/>
              <w:rPr>
                <w:rFonts w:ascii="Calibri" w:hAnsi="Calibri"/>
                <w:color w:val="000000"/>
              </w:rPr>
            </w:pPr>
          </w:p>
        </w:tc>
      </w:tr>
      <w:tr w:rsidR="00235E22" w:rsidRPr="00913DC0" w14:paraId="3FBF5E61" w14:textId="65255C5B" w:rsidTr="00235E22">
        <w:trPr>
          <w:trHeight w:val="288"/>
          <w:jc w:val="center"/>
        </w:trPr>
        <w:tc>
          <w:tcPr>
            <w:tcW w:w="959" w:type="dxa"/>
            <w:noWrap/>
            <w:hideMark/>
          </w:tcPr>
          <w:p w14:paraId="24D72775" w14:textId="30C6B32B" w:rsidR="00235E22" w:rsidRPr="00913DC0" w:rsidRDefault="00235E22" w:rsidP="00E22FBE">
            <w:pPr>
              <w:overflowPunct/>
              <w:autoSpaceDE/>
              <w:autoSpaceDN/>
              <w:adjustRightInd/>
              <w:spacing w:after="0"/>
              <w:jc w:val="center"/>
              <w:textAlignment w:val="auto"/>
              <w:rPr>
                <w:rFonts w:ascii="Calibri" w:hAnsi="Calibri"/>
                <w:color w:val="000000"/>
              </w:rPr>
            </w:pPr>
            <w:r w:rsidRPr="003E3052">
              <w:rPr>
                <w:rFonts w:ascii="Calibri" w:hAnsi="Calibri"/>
                <w:color w:val="000000"/>
              </w:rPr>
              <w:t>Outer1</w:t>
            </w:r>
          </w:p>
        </w:tc>
        <w:tc>
          <w:tcPr>
            <w:tcW w:w="560" w:type="dxa"/>
            <w:noWrap/>
            <w:hideMark/>
          </w:tcPr>
          <w:p w14:paraId="6D116867"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DFT</w:t>
            </w:r>
          </w:p>
        </w:tc>
        <w:tc>
          <w:tcPr>
            <w:tcW w:w="843" w:type="dxa"/>
            <w:noWrap/>
            <w:hideMark/>
          </w:tcPr>
          <w:p w14:paraId="4FDF1A66"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S4L_I7</w:t>
            </w:r>
          </w:p>
        </w:tc>
        <w:tc>
          <w:tcPr>
            <w:tcW w:w="607" w:type="dxa"/>
            <w:noWrap/>
            <w:hideMark/>
          </w:tcPr>
          <w:p w14:paraId="3D0492F2"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19.1</w:t>
            </w:r>
          </w:p>
        </w:tc>
        <w:tc>
          <w:tcPr>
            <w:tcW w:w="607" w:type="dxa"/>
            <w:noWrap/>
            <w:hideMark/>
          </w:tcPr>
          <w:p w14:paraId="73862A39" w14:textId="43270275"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607" w:type="dxa"/>
            <w:noWrap/>
            <w:hideMark/>
          </w:tcPr>
          <w:p w14:paraId="23C70102"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7</w:t>
            </w:r>
          </w:p>
        </w:tc>
        <w:tc>
          <w:tcPr>
            <w:tcW w:w="607" w:type="dxa"/>
            <w:noWrap/>
            <w:hideMark/>
          </w:tcPr>
          <w:p w14:paraId="247E7734" w14:textId="4A960963"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735" w:type="dxa"/>
            <w:vMerge/>
          </w:tcPr>
          <w:p w14:paraId="60A34A47" w14:textId="77777777" w:rsidR="00235E22" w:rsidRPr="003E3052" w:rsidRDefault="00235E22" w:rsidP="00E22FBE">
            <w:pPr>
              <w:overflowPunct/>
              <w:autoSpaceDE/>
              <w:autoSpaceDN/>
              <w:adjustRightInd/>
              <w:spacing w:after="0"/>
              <w:jc w:val="center"/>
              <w:textAlignment w:val="auto"/>
              <w:rPr>
                <w:rFonts w:ascii="Calibri" w:hAnsi="Calibri"/>
                <w:color w:val="000000"/>
              </w:rPr>
            </w:pPr>
          </w:p>
        </w:tc>
        <w:tc>
          <w:tcPr>
            <w:tcW w:w="876" w:type="dxa"/>
            <w:noWrap/>
            <w:hideMark/>
          </w:tcPr>
          <w:p w14:paraId="22AFD8B0" w14:textId="2836FD61"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I3L-25</w:t>
            </w:r>
          </w:p>
        </w:tc>
        <w:tc>
          <w:tcPr>
            <w:tcW w:w="607" w:type="dxa"/>
            <w:noWrap/>
            <w:hideMark/>
          </w:tcPr>
          <w:p w14:paraId="4F18A6C3"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11</w:t>
            </w:r>
          </w:p>
        </w:tc>
        <w:tc>
          <w:tcPr>
            <w:tcW w:w="607" w:type="dxa"/>
            <w:noWrap/>
            <w:hideMark/>
          </w:tcPr>
          <w:p w14:paraId="7FC263F9"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10.7</w:t>
            </w:r>
          </w:p>
        </w:tc>
        <w:tc>
          <w:tcPr>
            <w:tcW w:w="671" w:type="dxa"/>
            <w:noWrap/>
            <w:hideMark/>
          </w:tcPr>
          <w:p w14:paraId="190E97AA"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15</w:t>
            </w:r>
          </w:p>
        </w:tc>
        <w:tc>
          <w:tcPr>
            <w:tcW w:w="671" w:type="dxa"/>
            <w:noWrap/>
            <w:hideMark/>
          </w:tcPr>
          <w:p w14:paraId="5FDD16C5"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15</w:t>
            </w:r>
          </w:p>
        </w:tc>
      </w:tr>
      <w:tr w:rsidR="00235E22" w:rsidRPr="00913DC0" w14:paraId="09E453F8" w14:textId="09F55D80" w:rsidTr="00235E22">
        <w:trPr>
          <w:trHeight w:val="288"/>
          <w:jc w:val="center"/>
        </w:trPr>
        <w:tc>
          <w:tcPr>
            <w:tcW w:w="959" w:type="dxa"/>
            <w:noWrap/>
            <w:hideMark/>
          </w:tcPr>
          <w:p w14:paraId="2B948EC6" w14:textId="3775888A" w:rsidR="00235E22" w:rsidRPr="00913DC0" w:rsidRDefault="00235E22" w:rsidP="00E22FBE">
            <w:pPr>
              <w:overflowPunct/>
              <w:autoSpaceDE/>
              <w:autoSpaceDN/>
              <w:adjustRightInd/>
              <w:spacing w:after="0"/>
              <w:jc w:val="center"/>
              <w:textAlignment w:val="auto"/>
              <w:rPr>
                <w:rFonts w:ascii="Calibri" w:hAnsi="Calibri"/>
                <w:color w:val="000000"/>
              </w:rPr>
            </w:pPr>
            <w:r w:rsidRPr="003E3052">
              <w:rPr>
                <w:rFonts w:ascii="Calibri" w:hAnsi="Calibri"/>
                <w:color w:val="000000"/>
              </w:rPr>
              <w:t>Outer1+</w:t>
            </w:r>
          </w:p>
        </w:tc>
        <w:tc>
          <w:tcPr>
            <w:tcW w:w="560" w:type="dxa"/>
            <w:noWrap/>
            <w:hideMark/>
          </w:tcPr>
          <w:p w14:paraId="7D360C1B"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DFT</w:t>
            </w:r>
          </w:p>
        </w:tc>
        <w:tc>
          <w:tcPr>
            <w:tcW w:w="843" w:type="dxa"/>
            <w:noWrap/>
            <w:hideMark/>
          </w:tcPr>
          <w:p w14:paraId="1D7B6145"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S3L_I5</w:t>
            </w:r>
          </w:p>
        </w:tc>
        <w:tc>
          <w:tcPr>
            <w:tcW w:w="607" w:type="dxa"/>
            <w:noWrap/>
            <w:hideMark/>
          </w:tcPr>
          <w:p w14:paraId="214F587A"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17.5</w:t>
            </w:r>
          </w:p>
        </w:tc>
        <w:tc>
          <w:tcPr>
            <w:tcW w:w="607" w:type="dxa"/>
            <w:noWrap/>
            <w:hideMark/>
          </w:tcPr>
          <w:p w14:paraId="7C0213F0" w14:textId="78F2EE5B"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607" w:type="dxa"/>
            <w:noWrap/>
            <w:hideMark/>
          </w:tcPr>
          <w:p w14:paraId="50B7A584"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8.5</w:t>
            </w:r>
          </w:p>
        </w:tc>
        <w:tc>
          <w:tcPr>
            <w:tcW w:w="607" w:type="dxa"/>
            <w:noWrap/>
            <w:hideMark/>
          </w:tcPr>
          <w:p w14:paraId="30559F4E" w14:textId="1AAF1FA2"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735" w:type="dxa"/>
            <w:vMerge w:val="restart"/>
          </w:tcPr>
          <w:p w14:paraId="15881F34" w14:textId="57C871BA" w:rsidR="00235E22" w:rsidRPr="003E3052" w:rsidRDefault="00235E22" w:rsidP="00E22FBE">
            <w:pPr>
              <w:overflowPunct/>
              <w:autoSpaceDE/>
              <w:autoSpaceDN/>
              <w:adjustRightInd/>
              <w:spacing w:after="0"/>
              <w:jc w:val="center"/>
              <w:textAlignment w:val="auto"/>
              <w:rPr>
                <w:rFonts w:ascii="Calibri" w:hAnsi="Calibri"/>
                <w:color w:val="000000"/>
              </w:rPr>
            </w:pPr>
            <w:r w:rsidRPr="003E3052">
              <w:rPr>
                <w:rFonts w:ascii="Calibri" w:hAnsi="Calibri"/>
                <w:color w:val="000000"/>
              </w:rPr>
              <w:t>13</w:t>
            </w:r>
          </w:p>
        </w:tc>
        <w:tc>
          <w:tcPr>
            <w:tcW w:w="876" w:type="dxa"/>
            <w:noWrap/>
            <w:hideMark/>
          </w:tcPr>
          <w:p w14:paraId="5FCD51D2" w14:textId="7365700A"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I3L-25</w:t>
            </w:r>
          </w:p>
        </w:tc>
        <w:tc>
          <w:tcPr>
            <w:tcW w:w="607" w:type="dxa"/>
            <w:noWrap/>
            <w:hideMark/>
          </w:tcPr>
          <w:p w14:paraId="62C8C100"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11.8</w:t>
            </w:r>
          </w:p>
        </w:tc>
        <w:tc>
          <w:tcPr>
            <w:tcW w:w="607" w:type="dxa"/>
            <w:noWrap/>
            <w:hideMark/>
          </w:tcPr>
          <w:p w14:paraId="4AA1036D"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11.2</w:t>
            </w:r>
          </w:p>
        </w:tc>
        <w:tc>
          <w:tcPr>
            <w:tcW w:w="671" w:type="dxa"/>
            <w:noWrap/>
            <w:hideMark/>
          </w:tcPr>
          <w:p w14:paraId="3D73A7DD"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14.5</w:t>
            </w:r>
          </w:p>
        </w:tc>
        <w:tc>
          <w:tcPr>
            <w:tcW w:w="671" w:type="dxa"/>
            <w:noWrap/>
            <w:hideMark/>
          </w:tcPr>
          <w:p w14:paraId="18FBAB38"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14.5</w:t>
            </w:r>
          </w:p>
        </w:tc>
      </w:tr>
      <w:tr w:rsidR="00235E22" w:rsidRPr="00913DC0" w14:paraId="6D0DBC02" w14:textId="0B98C934" w:rsidTr="00235E22">
        <w:trPr>
          <w:trHeight w:val="288"/>
          <w:jc w:val="center"/>
        </w:trPr>
        <w:tc>
          <w:tcPr>
            <w:tcW w:w="959" w:type="dxa"/>
            <w:noWrap/>
            <w:hideMark/>
          </w:tcPr>
          <w:p w14:paraId="177615A8" w14:textId="3A396832" w:rsidR="00235E22" w:rsidRPr="00913DC0" w:rsidRDefault="00235E22" w:rsidP="00113226">
            <w:pPr>
              <w:overflowPunct/>
              <w:autoSpaceDE/>
              <w:autoSpaceDN/>
              <w:adjustRightInd/>
              <w:spacing w:after="0"/>
              <w:jc w:val="center"/>
              <w:textAlignment w:val="auto"/>
              <w:rPr>
                <w:rFonts w:ascii="Calibri" w:hAnsi="Calibri"/>
                <w:color w:val="000000"/>
              </w:rPr>
            </w:pPr>
            <w:r w:rsidRPr="003E3052">
              <w:rPr>
                <w:rFonts w:ascii="Calibri" w:hAnsi="Calibri"/>
                <w:color w:val="000000"/>
              </w:rPr>
              <w:t>Outer2</w:t>
            </w:r>
          </w:p>
        </w:tc>
        <w:tc>
          <w:tcPr>
            <w:tcW w:w="560" w:type="dxa"/>
            <w:noWrap/>
            <w:hideMark/>
          </w:tcPr>
          <w:p w14:paraId="2829893A"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DFT</w:t>
            </w:r>
          </w:p>
        </w:tc>
        <w:tc>
          <w:tcPr>
            <w:tcW w:w="843" w:type="dxa"/>
            <w:noWrap/>
            <w:hideMark/>
          </w:tcPr>
          <w:p w14:paraId="5C823C94"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S4L_I5</w:t>
            </w:r>
          </w:p>
        </w:tc>
        <w:tc>
          <w:tcPr>
            <w:tcW w:w="607" w:type="dxa"/>
            <w:noWrap/>
            <w:hideMark/>
          </w:tcPr>
          <w:p w14:paraId="0B5AD0B0"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15.6</w:t>
            </w:r>
          </w:p>
        </w:tc>
        <w:tc>
          <w:tcPr>
            <w:tcW w:w="607" w:type="dxa"/>
            <w:noWrap/>
            <w:hideMark/>
          </w:tcPr>
          <w:p w14:paraId="36049806"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11.8</w:t>
            </w:r>
          </w:p>
        </w:tc>
        <w:tc>
          <w:tcPr>
            <w:tcW w:w="607" w:type="dxa"/>
            <w:noWrap/>
            <w:hideMark/>
          </w:tcPr>
          <w:p w14:paraId="36FD9DDA"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10.5</w:t>
            </w:r>
          </w:p>
        </w:tc>
        <w:tc>
          <w:tcPr>
            <w:tcW w:w="607" w:type="dxa"/>
            <w:noWrap/>
            <w:hideMark/>
          </w:tcPr>
          <w:p w14:paraId="3A9D7E26"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14.5</w:t>
            </w:r>
          </w:p>
        </w:tc>
        <w:tc>
          <w:tcPr>
            <w:tcW w:w="735" w:type="dxa"/>
            <w:vMerge/>
          </w:tcPr>
          <w:p w14:paraId="06B0260B" w14:textId="77777777" w:rsidR="00235E22" w:rsidRPr="003E3052" w:rsidRDefault="00235E22" w:rsidP="00E22FBE">
            <w:pPr>
              <w:overflowPunct/>
              <w:autoSpaceDE/>
              <w:autoSpaceDN/>
              <w:adjustRightInd/>
              <w:spacing w:after="0"/>
              <w:jc w:val="center"/>
              <w:textAlignment w:val="auto"/>
              <w:rPr>
                <w:rFonts w:ascii="Calibri" w:hAnsi="Calibri"/>
                <w:color w:val="000000"/>
              </w:rPr>
            </w:pPr>
          </w:p>
        </w:tc>
        <w:tc>
          <w:tcPr>
            <w:tcW w:w="876" w:type="dxa"/>
            <w:noWrap/>
            <w:hideMark/>
          </w:tcPr>
          <w:p w14:paraId="46FD5C5C" w14:textId="2221D334"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I3L-25</w:t>
            </w:r>
          </w:p>
        </w:tc>
        <w:tc>
          <w:tcPr>
            <w:tcW w:w="607" w:type="dxa"/>
            <w:noWrap/>
            <w:hideMark/>
          </w:tcPr>
          <w:p w14:paraId="00CD0620"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11.5</w:t>
            </w:r>
          </w:p>
        </w:tc>
        <w:tc>
          <w:tcPr>
            <w:tcW w:w="607" w:type="dxa"/>
            <w:noWrap/>
            <w:hideMark/>
          </w:tcPr>
          <w:p w14:paraId="54709ECA"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10.7</w:t>
            </w:r>
          </w:p>
        </w:tc>
        <w:tc>
          <w:tcPr>
            <w:tcW w:w="671" w:type="dxa"/>
            <w:noWrap/>
            <w:hideMark/>
          </w:tcPr>
          <w:p w14:paraId="73D2E2AA"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14.5</w:t>
            </w:r>
          </w:p>
        </w:tc>
        <w:tc>
          <w:tcPr>
            <w:tcW w:w="671" w:type="dxa"/>
            <w:noWrap/>
            <w:hideMark/>
          </w:tcPr>
          <w:p w14:paraId="7C4E9096"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15</w:t>
            </w:r>
          </w:p>
        </w:tc>
      </w:tr>
      <w:tr w:rsidR="00235E22" w:rsidRPr="00913DC0" w14:paraId="0B1772A9" w14:textId="5A1D0482" w:rsidTr="00235E22">
        <w:trPr>
          <w:trHeight w:val="288"/>
          <w:jc w:val="center"/>
        </w:trPr>
        <w:tc>
          <w:tcPr>
            <w:tcW w:w="959" w:type="dxa"/>
            <w:noWrap/>
            <w:hideMark/>
          </w:tcPr>
          <w:p w14:paraId="42F279C2" w14:textId="4DA9C29B" w:rsidR="00235E22" w:rsidRPr="00913DC0" w:rsidRDefault="00235E22" w:rsidP="00E22FBE">
            <w:pPr>
              <w:overflowPunct/>
              <w:autoSpaceDE/>
              <w:autoSpaceDN/>
              <w:adjustRightInd/>
              <w:spacing w:after="0"/>
              <w:jc w:val="center"/>
              <w:textAlignment w:val="auto"/>
              <w:rPr>
                <w:rFonts w:ascii="Calibri" w:hAnsi="Calibri"/>
                <w:color w:val="000000"/>
              </w:rPr>
            </w:pPr>
            <w:r w:rsidRPr="003E3052">
              <w:rPr>
                <w:rFonts w:ascii="Calibri" w:hAnsi="Calibri"/>
                <w:color w:val="000000"/>
              </w:rPr>
              <w:t>Inner</w:t>
            </w:r>
          </w:p>
        </w:tc>
        <w:tc>
          <w:tcPr>
            <w:tcW w:w="560" w:type="dxa"/>
            <w:noWrap/>
            <w:hideMark/>
          </w:tcPr>
          <w:p w14:paraId="6B35EA01"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CP</w:t>
            </w:r>
          </w:p>
        </w:tc>
        <w:tc>
          <w:tcPr>
            <w:tcW w:w="843" w:type="dxa"/>
            <w:noWrap/>
            <w:hideMark/>
          </w:tcPr>
          <w:p w14:paraId="0E5F2319"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S2H_I5</w:t>
            </w:r>
          </w:p>
        </w:tc>
        <w:tc>
          <w:tcPr>
            <w:tcW w:w="607" w:type="dxa"/>
            <w:noWrap/>
            <w:hideMark/>
          </w:tcPr>
          <w:p w14:paraId="72D23DEF"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22.6</w:t>
            </w:r>
          </w:p>
        </w:tc>
        <w:tc>
          <w:tcPr>
            <w:tcW w:w="607" w:type="dxa"/>
            <w:noWrap/>
            <w:hideMark/>
          </w:tcPr>
          <w:p w14:paraId="069F0173" w14:textId="4B5D4605"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607" w:type="dxa"/>
            <w:noWrap/>
            <w:hideMark/>
          </w:tcPr>
          <w:p w14:paraId="35726D98"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3.5</w:t>
            </w:r>
          </w:p>
        </w:tc>
        <w:tc>
          <w:tcPr>
            <w:tcW w:w="607" w:type="dxa"/>
            <w:noWrap/>
            <w:hideMark/>
          </w:tcPr>
          <w:p w14:paraId="01E3295A" w14:textId="5454022F"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735" w:type="dxa"/>
          </w:tcPr>
          <w:p w14:paraId="395402B2" w14:textId="3FBFD03A" w:rsidR="00235E22" w:rsidRPr="003E3052" w:rsidRDefault="00235E22" w:rsidP="00E22FBE">
            <w:pPr>
              <w:overflowPunct/>
              <w:autoSpaceDE/>
              <w:autoSpaceDN/>
              <w:adjustRightInd/>
              <w:spacing w:after="0"/>
              <w:jc w:val="center"/>
              <w:textAlignment w:val="auto"/>
              <w:rPr>
                <w:rFonts w:ascii="Calibri" w:hAnsi="Calibri"/>
                <w:color w:val="000000"/>
              </w:rPr>
            </w:pPr>
            <w:r w:rsidRPr="003E3052">
              <w:rPr>
                <w:rFonts w:ascii="Calibri" w:hAnsi="Calibri"/>
                <w:color w:val="000000"/>
              </w:rPr>
              <w:t>3.5</w:t>
            </w:r>
          </w:p>
        </w:tc>
        <w:tc>
          <w:tcPr>
            <w:tcW w:w="876" w:type="dxa"/>
            <w:noWrap/>
            <w:hideMark/>
          </w:tcPr>
          <w:p w14:paraId="02B61FF7" w14:textId="2EB037A8"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I5-25</w:t>
            </w:r>
          </w:p>
        </w:tc>
        <w:tc>
          <w:tcPr>
            <w:tcW w:w="607" w:type="dxa"/>
            <w:noWrap/>
            <w:hideMark/>
          </w:tcPr>
          <w:p w14:paraId="1FF4F80A"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18.1</w:t>
            </w:r>
          </w:p>
        </w:tc>
        <w:tc>
          <w:tcPr>
            <w:tcW w:w="607" w:type="dxa"/>
            <w:noWrap/>
            <w:hideMark/>
          </w:tcPr>
          <w:p w14:paraId="13DC4FAD" w14:textId="35E4B325"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671" w:type="dxa"/>
            <w:noWrap/>
            <w:hideMark/>
          </w:tcPr>
          <w:p w14:paraId="5889B6A6" w14:textId="069D99E3" w:rsidR="00235E22" w:rsidRPr="00913DC0" w:rsidRDefault="00235E22" w:rsidP="00E22FBE">
            <w:pPr>
              <w:overflowPunct/>
              <w:autoSpaceDE/>
              <w:autoSpaceDN/>
              <w:adjustRightInd/>
              <w:spacing w:after="0"/>
              <w:jc w:val="center"/>
              <w:textAlignment w:val="auto"/>
              <w:rPr>
                <w:rFonts w:ascii="Calibri" w:hAnsi="Calibri"/>
                <w:color w:val="000000"/>
              </w:rPr>
            </w:pPr>
            <w:r>
              <w:rPr>
                <w:rFonts w:ascii="Calibri" w:hAnsi="Calibri"/>
                <w:color w:val="000000"/>
              </w:rPr>
              <w:t>9</w:t>
            </w:r>
          </w:p>
        </w:tc>
        <w:tc>
          <w:tcPr>
            <w:tcW w:w="671" w:type="dxa"/>
            <w:noWrap/>
            <w:hideMark/>
          </w:tcPr>
          <w:p w14:paraId="3630D991" w14:textId="21B965C4" w:rsidR="00235E22" w:rsidRPr="00913DC0" w:rsidRDefault="00235E22" w:rsidP="00E22FBE">
            <w:pPr>
              <w:overflowPunct/>
              <w:autoSpaceDE/>
              <w:autoSpaceDN/>
              <w:adjustRightInd/>
              <w:spacing w:after="0"/>
              <w:jc w:val="center"/>
              <w:textAlignment w:val="auto"/>
              <w:rPr>
                <w:rFonts w:ascii="Calibri" w:hAnsi="Calibri"/>
                <w:color w:val="000000"/>
              </w:rPr>
            </w:pPr>
          </w:p>
        </w:tc>
      </w:tr>
      <w:tr w:rsidR="00235E22" w:rsidRPr="00913DC0" w14:paraId="288157E3" w14:textId="6F4A3341" w:rsidTr="00235E22">
        <w:trPr>
          <w:trHeight w:val="288"/>
          <w:jc w:val="center"/>
        </w:trPr>
        <w:tc>
          <w:tcPr>
            <w:tcW w:w="959" w:type="dxa"/>
            <w:noWrap/>
            <w:hideMark/>
          </w:tcPr>
          <w:p w14:paraId="1D966EDA" w14:textId="5CFFAC9E" w:rsidR="00235E22" w:rsidRPr="00913DC0" w:rsidRDefault="00235E22" w:rsidP="00E22FBE">
            <w:pPr>
              <w:overflowPunct/>
              <w:autoSpaceDE/>
              <w:autoSpaceDN/>
              <w:adjustRightInd/>
              <w:spacing w:after="0"/>
              <w:jc w:val="center"/>
              <w:textAlignment w:val="auto"/>
              <w:rPr>
                <w:rFonts w:ascii="Calibri" w:hAnsi="Calibri"/>
                <w:color w:val="000000"/>
              </w:rPr>
            </w:pPr>
            <w:r w:rsidRPr="003E3052">
              <w:rPr>
                <w:rFonts w:ascii="Calibri" w:hAnsi="Calibri"/>
                <w:color w:val="000000"/>
              </w:rPr>
              <w:t>Inner</w:t>
            </w:r>
            <w:r w:rsidRPr="00D62DCC">
              <w:rPr>
                <w:rFonts w:ascii="Calibri" w:hAnsi="Calibri"/>
                <w:color w:val="000000"/>
              </w:rPr>
              <w:t>+</w:t>
            </w:r>
          </w:p>
        </w:tc>
        <w:tc>
          <w:tcPr>
            <w:tcW w:w="560" w:type="dxa"/>
            <w:noWrap/>
            <w:hideMark/>
          </w:tcPr>
          <w:p w14:paraId="2F27502D"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CP</w:t>
            </w:r>
          </w:p>
        </w:tc>
        <w:tc>
          <w:tcPr>
            <w:tcW w:w="843" w:type="dxa"/>
            <w:noWrap/>
            <w:hideMark/>
          </w:tcPr>
          <w:p w14:paraId="123BA3EB"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S2L_I5</w:t>
            </w:r>
          </w:p>
        </w:tc>
        <w:tc>
          <w:tcPr>
            <w:tcW w:w="607" w:type="dxa"/>
            <w:noWrap/>
            <w:hideMark/>
          </w:tcPr>
          <w:p w14:paraId="150C327C"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21.7</w:t>
            </w:r>
          </w:p>
        </w:tc>
        <w:tc>
          <w:tcPr>
            <w:tcW w:w="607" w:type="dxa"/>
            <w:noWrap/>
            <w:hideMark/>
          </w:tcPr>
          <w:p w14:paraId="0FF976CC" w14:textId="6081C314"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607" w:type="dxa"/>
            <w:noWrap/>
            <w:hideMark/>
          </w:tcPr>
          <w:p w14:paraId="6FF503EC"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4.5</w:t>
            </w:r>
          </w:p>
        </w:tc>
        <w:tc>
          <w:tcPr>
            <w:tcW w:w="607" w:type="dxa"/>
            <w:noWrap/>
            <w:hideMark/>
          </w:tcPr>
          <w:p w14:paraId="25A46BDF" w14:textId="6D25BCEA"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735" w:type="dxa"/>
            <w:vMerge w:val="restart"/>
          </w:tcPr>
          <w:p w14:paraId="5B9334C2" w14:textId="3CA40AE0" w:rsidR="00235E22" w:rsidRPr="003E3052" w:rsidRDefault="00235E22" w:rsidP="00E22FBE">
            <w:pPr>
              <w:overflowPunct/>
              <w:autoSpaceDE/>
              <w:autoSpaceDN/>
              <w:adjustRightInd/>
              <w:spacing w:after="0"/>
              <w:jc w:val="center"/>
              <w:textAlignment w:val="auto"/>
              <w:rPr>
                <w:rFonts w:ascii="Calibri" w:hAnsi="Calibri"/>
                <w:color w:val="000000"/>
              </w:rPr>
            </w:pPr>
            <w:r w:rsidRPr="003E3052">
              <w:rPr>
                <w:rFonts w:ascii="Calibri" w:hAnsi="Calibri"/>
                <w:color w:val="000000"/>
              </w:rPr>
              <w:t>7</w:t>
            </w:r>
          </w:p>
        </w:tc>
        <w:tc>
          <w:tcPr>
            <w:tcW w:w="876" w:type="dxa"/>
            <w:noWrap/>
            <w:hideMark/>
          </w:tcPr>
          <w:p w14:paraId="2FCB1CA9" w14:textId="66F83842"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I5-25</w:t>
            </w:r>
          </w:p>
        </w:tc>
        <w:tc>
          <w:tcPr>
            <w:tcW w:w="607" w:type="dxa"/>
            <w:noWrap/>
            <w:hideMark/>
          </w:tcPr>
          <w:p w14:paraId="1E174049"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18</w:t>
            </w:r>
          </w:p>
        </w:tc>
        <w:tc>
          <w:tcPr>
            <w:tcW w:w="607" w:type="dxa"/>
            <w:noWrap/>
            <w:hideMark/>
          </w:tcPr>
          <w:p w14:paraId="7D09EF88" w14:textId="5BCD575D"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671" w:type="dxa"/>
            <w:noWrap/>
            <w:hideMark/>
          </w:tcPr>
          <w:p w14:paraId="5C9326CE" w14:textId="1C255550" w:rsidR="00235E22" w:rsidRPr="00913DC0" w:rsidRDefault="00235E22" w:rsidP="00E22FBE">
            <w:pPr>
              <w:overflowPunct/>
              <w:autoSpaceDE/>
              <w:autoSpaceDN/>
              <w:adjustRightInd/>
              <w:spacing w:after="0"/>
              <w:jc w:val="center"/>
              <w:textAlignment w:val="auto"/>
              <w:rPr>
                <w:rFonts w:ascii="Calibri" w:hAnsi="Calibri"/>
                <w:color w:val="000000"/>
              </w:rPr>
            </w:pPr>
            <w:r>
              <w:rPr>
                <w:rFonts w:ascii="Calibri" w:hAnsi="Calibri"/>
                <w:color w:val="000000"/>
              </w:rPr>
              <w:t>9</w:t>
            </w:r>
          </w:p>
        </w:tc>
        <w:tc>
          <w:tcPr>
            <w:tcW w:w="671" w:type="dxa"/>
            <w:noWrap/>
            <w:hideMark/>
          </w:tcPr>
          <w:p w14:paraId="1444A52C" w14:textId="6F9D7C73" w:rsidR="00235E22" w:rsidRPr="00913DC0" w:rsidRDefault="00235E22" w:rsidP="00E22FBE">
            <w:pPr>
              <w:overflowPunct/>
              <w:autoSpaceDE/>
              <w:autoSpaceDN/>
              <w:adjustRightInd/>
              <w:spacing w:after="0"/>
              <w:jc w:val="center"/>
              <w:textAlignment w:val="auto"/>
              <w:rPr>
                <w:rFonts w:ascii="Calibri" w:hAnsi="Calibri"/>
                <w:color w:val="000000"/>
              </w:rPr>
            </w:pPr>
          </w:p>
        </w:tc>
      </w:tr>
      <w:tr w:rsidR="00235E22" w:rsidRPr="00913DC0" w14:paraId="3639E288" w14:textId="0546BBA1" w:rsidTr="00235E22">
        <w:trPr>
          <w:trHeight w:val="288"/>
          <w:jc w:val="center"/>
        </w:trPr>
        <w:tc>
          <w:tcPr>
            <w:tcW w:w="959" w:type="dxa"/>
            <w:noWrap/>
            <w:hideMark/>
          </w:tcPr>
          <w:p w14:paraId="05155D36" w14:textId="7D785454" w:rsidR="00235E22" w:rsidRPr="00913DC0" w:rsidRDefault="00235E22" w:rsidP="00E22FBE">
            <w:pPr>
              <w:overflowPunct/>
              <w:autoSpaceDE/>
              <w:autoSpaceDN/>
              <w:adjustRightInd/>
              <w:spacing w:after="0"/>
              <w:jc w:val="center"/>
              <w:textAlignment w:val="auto"/>
              <w:rPr>
                <w:rFonts w:ascii="Calibri" w:hAnsi="Calibri"/>
                <w:color w:val="000000"/>
              </w:rPr>
            </w:pPr>
            <w:r w:rsidRPr="003E3052">
              <w:rPr>
                <w:rFonts w:ascii="Calibri" w:hAnsi="Calibri"/>
                <w:color w:val="000000"/>
              </w:rPr>
              <w:t>Outer1</w:t>
            </w:r>
          </w:p>
        </w:tc>
        <w:tc>
          <w:tcPr>
            <w:tcW w:w="560" w:type="dxa"/>
            <w:noWrap/>
            <w:hideMark/>
          </w:tcPr>
          <w:p w14:paraId="1FA58782"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CP</w:t>
            </w:r>
          </w:p>
        </w:tc>
        <w:tc>
          <w:tcPr>
            <w:tcW w:w="843" w:type="dxa"/>
            <w:noWrap/>
            <w:hideMark/>
          </w:tcPr>
          <w:p w14:paraId="2C4C441E"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S4L_I7</w:t>
            </w:r>
          </w:p>
        </w:tc>
        <w:tc>
          <w:tcPr>
            <w:tcW w:w="607" w:type="dxa"/>
            <w:noWrap/>
            <w:hideMark/>
          </w:tcPr>
          <w:p w14:paraId="04DE0E17"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18.8</w:t>
            </w:r>
          </w:p>
        </w:tc>
        <w:tc>
          <w:tcPr>
            <w:tcW w:w="607" w:type="dxa"/>
            <w:noWrap/>
            <w:hideMark/>
          </w:tcPr>
          <w:p w14:paraId="55CF3E01" w14:textId="07BC36AD"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607" w:type="dxa"/>
            <w:noWrap/>
            <w:hideMark/>
          </w:tcPr>
          <w:p w14:paraId="162BE4A5"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7.5</w:t>
            </w:r>
          </w:p>
        </w:tc>
        <w:tc>
          <w:tcPr>
            <w:tcW w:w="607" w:type="dxa"/>
            <w:noWrap/>
            <w:hideMark/>
          </w:tcPr>
          <w:p w14:paraId="2CEF405F" w14:textId="5A8A37BA"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735" w:type="dxa"/>
            <w:vMerge/>
          </w:tcPr>
          <w:p w14:paraId="16F3CFD1" w14:textId="77777777" w:rsidR="00235E22" w:rsidRPr="003E3052" w:rsidRDefault="00235E22" w:rsidP="00E22FBE">
            <w:pPr>
              <w:overflowPunct/>
              <w:autoSpaceDE/>
              <w:autoSpaceDN/>
              <w:adjustRightInd/>
              <w:spacing w:after="0"/>
              <w:jc w:val="center"/>
              <w:textAlignment w:val="auto"/>
              <w:rPr>
                <w:rFonts w:ascii="Calibri" w:hAnsi="Calibri"/>
                <w:color w:val="000000"/>
              </w:rPr>
            </w:pPr>
          </w:p>
        </w:tc>
        <w:tc>
          <w:tcPr>
            <w:tcW w:w="876" w:type="dxa"/>
            <w:noWrap/>
            <w:hideMark/>
          </w:tcPr>
          <w:p w14:paraId="7185395A" w14:textId="395BEF30"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I3L-25</w:t>
            </w:r>
          </w:p>
        </w:tc>
        <w:tc>
          <w:tcPr>
            <w:tcW w:w="607" w:type="dxa"/>
            <w:noWrap/>
            <w:hideMark/>
          </w:tcPr>
          <w:p w14:paraId="1EF61E6B"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10.5</w:t>
            </w:r>
          </w:p>
        </w:tc>
        <w:tc>
          <w:tcPr>
            <w:tcW w:w="607" w:type="dxa"/>
            <w:noWrap/>
            <w:hideMark/>
          </w:tcPr>
          <w:p w14:paraId="62F9B7ED"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10.2</w:t>
            </w:r>
          </w:p>
        </w:tc>
        <w:tc>
          <w:tcPr>
            <w:tcW w:w="671" w:type="dxa"/>
            <w:noWrap/>
            <w:hideMark/>
          </w:tcPr>
          <w:p w14:paraId="7D1829BB"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15.5</w:t>
            </w:r>
          </w:p>
        </w:tc>
        <w:tc>
          <w:tcPr>
            <w:tcW w:w="671" w:type="dxa"/>
            <w:noWrap/>
            <w:hideMark/>
          </w:tcPr>
          <w:p w14:paraId="2305F2A1"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15.5</w:t>
            </w:r>
          </w:p>
        </w:tc>
      </w:tr>
      <w:tr w:rsidR="00235E22" w:rsidRPr="00913DC0" w14:paraId="02415073" w14:textId="50AD2D34" w:rsidTr="00235E22">
        <w:trPr>
          <w:trHeight w:val="288"/>
          <w:jc w:val="center"/>
        </w:trPr>
        <w:tc>
          <w:tcPr>
            <w:tcW w:w="959" w:type="dxa"/>
            <w:noWrap/>
            <w:hideMark/>
          </w:tcPr>
          <w:p w14:paraId="65B43F4A" w14:textId="4677C81B" w:rsidR="00235E22" w:rsidRPr="00913DC0" w:rsidRDefault="00235E22" w:rsidP="00E22FBE">
            <w:pPr>
              <w:overflowPunct/>
              <w:autoSpaceDE/>
              <w:autoSpaceDN/>
              <w:adjustRightInd/>
              <w:spacing w:after="0"/>
              <w:jc w:val="center"/>
              <w:textAlignment w:val="auto"/>
              <w:rPr>
                <w:rFonts w:ascii="Calibri" w:hAnsi="Calibri"/>
                <w:color w:val="000000"/>
              </w:rPr>
            </w:pPr>
            <w:r w:rsidRPr="003E3052">
              <w:rPr>
                <w:rFonts w:ascii="Calibri" w:hAnsi="Calibri"/>
                <w:color w:val="000000"/>
              </w:rPr>
              <w:t>Outer1+</w:t>
            </w:r>
          </w:p>
        </w:tc>
        <w:tc>
          <w:tcPr>
            <w:tcW w:w="560" w:type="dxa"/>
            <w:noWrap/>
            <w:hideMark/>
          </w:tcPr>
          <w:p w14:paraId="4EECE973"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CP</w:t>
            </w:r>
          </w:p>
        </w:tc>
        <w:tc>
          <w:tcPr>
            <w:tcW w:w="843" w:type="dxa"/>
            <w:noWrap/>
            <w:hideMark/>
          </w:tcPr>
          <w:p w14:paraId="71C4CC5F"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S3L_I5</w:t>
            </w:r>
          </w:p>
        </w:tc>
        <w:tc>
          <w:tcPr>
            <w:tcW w:w="607" w:type="dxa"/>
            <w:noWrap/>
            <w:hideMark/>
          </w:tcPr>
          <w:p w14:paraId="25E1526C"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18.9</w:t>
            </w:r>
          </w:p>
        </w:tc>
        <w:tc>
          <w:tcPr>
            <w:tcW w:w="607" w:type="dxa"/>
            <w:noWrap/>
            <w:hideMark/>
          </w:tcPr>
          <w:p w14:paraId="5023C117" w14:textId="0388D335"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607" w:type="dxa"/>
            <w:noWrap/>
            <w:hideMark/>
          </w:tcPr>
          <w:p w14:paraId="28E5024F"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7.5</w:t>
            </w:r>
          </w:p>
        </w:tc>
        <w:tc>
          <w:tcPr>
            <w:tcW w:w="607" w:type="dxa"/>
            <w:noWrap/>
            <w:hideMark/>
          </w:tcPr>
          <w:p w14:paraId="74965DA6" w14:textId="331B5CAA" w:rsidR="00235E22" w:rsidRPr="00913DC0" w:rsidRDefault="00235E22" w:rsidP="00E22FBE">
            <w:pPr>
              <w:overflowPunct/>
              <w:autoSpaceDE/>
              <w:autoSpaceDN/>
              <w:adjustRightInd/>
              <w:spacing w:after="0"/>
              <w:jc w:val="center"/>
              <w:textAlignment w:val="auto"/>
              <w:rPr>
                <w:rFonts w:ascii="Calibri" w:hAnsi="Calibri"/>
                <w:color w:val="000000"/>
              </w:rPr>
            </w:pPr>
          </w:p>
        </w:tc>
        <w:tc>
          <w:tcPr>
            <w:tcW w:w="735" w:type="dxa"/>
            <w:vMerge w:val="restart"/>
          </w:tcPr>
          <w:p w14:paraId="7D4BA8B8" w14:textId="7C4209FD" w:rsidR="00235E22" w:rsidRPr="003E3052" w:rsidRDefault="00235E22" w:rsidP="00E22FBE">
            <w:pPr>
              <w:overflowPunct/>
              <w:autoSpaceDE/>
              <w:autoSpaceDN/>
              <w:adjustRightInd/>
              <w:spacing w:after="0"/>
              <w:jc w:val="center"/>
              <w:textAlignment w:val="auto"/>
              <w:rPr>
                <w:rFonts w:ascii="Calibri" w:hAnsi="Calibri"/>
                <w:color w:val="000000"/>
              </w:rPr>
            </w:pPr>
            <w:r w:rsidRPr="003E3052">
              <w:rPr>
                <w:rFonts w:ascii="Calibri" w:hAnsi="Calibri"/>
                <w:color w:val="000000"/>
              </w:rPr>
              <w:t>14</w:t>
            </w:r>
          </w:p>
        </w:tc>
        <w:tc>
          <w:tcPr>
            <w:tcW w:w="876" w:type="dxa"/>
            <w:noWrap/>
            <w:hideMark/>
          </w:tcPr>
          <w:p w14:paraId="4793980C" w14:textId="2278546D"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I3L-25</w:t>
            </w:r>
          </w:p>
        </w:tc>
        <w:tc>
          <w:tcPr>
            <w:tcW w:w="607" w:type="dxa"/>
            <w:noWrap/>
            <w:hideMark/>
          </w:tcPr>
          <w:p w14:paraId="043CF02F"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11</w:t>
            </w:r>
          </w:p>
        </w:tc>
        <w:tc>
          <w:tcPr>
            <w:tcW w:w="607" w:type="dxa"/>
            <w:noWrap/>
            <w:hideMark/>
          </w:tcPr>
          <w:p w14:paraId="30D6FD2A"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10.2</w:t>
            </w:r>
          </w:p>
        </w:tc>
        <w:tc>
          <w:tcPr>
            <w:tcW w:w="671" w:type="dxa"/>
            <w:noWrap/>
            <w:hideMark/>
          </w:tcPr>
          <w:p w14:paraId="721623E4"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15</w:t>
            </w:r>
          </w:p>
        </w:tc>
        <w:tc>
          <w:tcPr>
            <w:tcW w:w="671" w:type="dxa"/>
            <w:noWrap/>
            <w:hideMark/>
          </w:tcPr>
          <w:p w14:paraId="566BD7C4"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15.5</w:t>
            </w:r>
          </w:p>
        </w:tc>
      </w:tr>
      <w:tr w:rsidR="00235E22" w:rsidRPr="00913DC0" w14:paraId="4587A1A8" w14:textId="482055DF" w:rsidTr="00235E22">
        <w:trPr>
          <w:trHeight w:val="288"/>
          <w:jc w:val="center"/>
        </w:trPr>
        <w:tc>
          <w:tcPr>
            <w:tcW w:w="959" w:type="dxa"/>
            <w:noWrap/>
            <w:hideMark/>
          </w:tcPr>
          <w:p w14:paraId="1EB801E1" w14:textId="6DC701CB" w:rsidR="00235E22" w:rsidRPr="00913DC0" w:rsidRDefault="00235E22" w:rsidP="00E22FBE">
            <w:pPr>
              <w:overflowPunct/>
              <w:autoSpaceDE/>
              <w:autoSpaceDN/>
              <w:adjustRightInd/>
              <w:spacing w:after="0"/>
              <w:jc w:val="center"/>
              <w:textAlignment w:val="auto"/>
              <w:rPr>
                <w:rFonts w:ascii="Calibri" w:hAnsi="Calibri"/>
                <w:color w:val="000000"/>
              </w:rPr>
            </w:pPr>
            <w:r w:rsidRPr="003E3052">
              <w:rPr>
                <w:rFonts w:ascii="Calibri" w:hAnsi="Calibri"/>
                <w:color w:val="000000"/>
              </w:rPr>
              <w:t>Outer2</w:t>
            </w:r>
          </w:p>
        </w:tc>
        <w:tc>
          <w:tcPr>
            <w:tcW w:w="560" w:type="dxa"/>
            <w:noWrap/>
            <w:hideMark/>
          </w:tcPr>
          <w:p w14:paraId="142CCDC4"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CP</w:t>
            </w:r>
          </w:p>
        </w:tc>
        <w:tc>
          <w:tcPr>
            <w:tcW w:w="843" w:type="dxa"/>
            <w:noWrap/>
            <w:hideMark/>
          </w:tcPr>
          <w:p w14:paraId="15DE8517"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S4L_I5</w:t>
            </w:r>
          </w:p>
        </w:tc>
        <w:tc>
          <w:tcPr>
            <w:tcW w:w="607" w:type="dxa"/>
            <w:noWrap/>
            <w:hideMark/>
          </w:tcPr>
          <w:p w14:paraId="14A46F44"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15.6</w:t>
            </w:r>
          </w:p>
        </w:tc>
        <w:tc>
          <w:tcPr>
            <w:tcW w:w="607" w:type="dxa"/>
            <w:noWrap/>
            <w:hideMark/>
          </w:tcPr>
          <w:p w14:paraId="034D481E"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11.8</w:t>
            </w:r>
          </w:p>
        </w:tc>
        <w:tc>
          <w:tcPr>
            <w:tcW w:w="607" w:type="dxa"/>
            <w:noWrap/>
            <w:hideMark/>
          </w:tcPr>
          <w:p w14:paraId="46142454"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10.5</w:t>
            </w:r>
          </w:p>
        </w:tc>
        <w:tc>
          <w:tcPr>
            <w:tcW w:w="607" w:type="dxa"/>
            <w:noWrap/>
            <w:hideMark/>
          </w:tcPr>
          <w:p w14:paraId="0DC276F2"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14.5</w:t>
            </w:r>
          </w:p>
        </w:tc>
        <w:tc>
          <w:tcPr>
            <w:tcW w:w="735" w:type="dxa"/>
            <w:vMerge/>
          </w:tcPr>
          <w:p w14:paraId="10F8F986" w14:textId="77777777" w:rsidR="00235E22" w:rsidRPr="003E3052" w:rsidRDefault="00235E22" w:rsidP="00E22FBE">
            <w:pPr>
              <w:overflowPunct/>
              <w:autoSpaceDE/>
              <w:autoSpaceDN/>
              <w:adjustRightInd/>
              <w:spacing w:after="0"/>
              <w:jc w:val="center"/>
              <w:textAlignment w:val="auto"/>
              <w:rPr>
                <w:rFonts w:ascii="Calibri" w:hAnsi="Calibri"/>
                <w:color w:val="000000"/>
              </w:rPr>
            </w:pPr>
          </w:p>
        </w:tc>
        <w:tc>
          <w:tcPr>
            <w:tcW w:w="876" w:type="dxa"/>
            <w:noWrap/>
            <w:hideMark/>
          </w:tcPr>
          <w:p w14:paraId="7859DFE0" w14:textId="5A9493DA"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I3L-25</w:t>
            </w:r>
          </w:p>
        </w:tc>
        <w:tc>
          <w:tcPr>
            <w:tcW w:w="607" w:type="dxa"/>
            <w:noWrap/>
            <w:hideMark/>
          </w:tcPr>
          <w:p w14:paraId="2AEE9CE5"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11.5</w:t>
            </w:r>
          </w:p>
        </w:tc>
        <w:tc>
          <w:tcPr>
            <w:tcW w:w="607" w:type="dxa"/>
            <w:noWrap/>
            <w:hideMark/>
          </w:tcPr>
          <w:p w14:paraId="1F05D53C"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10.2</w:t>
            </w:r>
          </w:p>
        </w:tc>
        <w:tc>
          <w:tcPr>
            <w:tcW w:w="671" w:type="dxa"/>
            <w:noWrap/>
            <w:hideMark/>
          </w:tcPr>
          <w:p w14:paraId="4DB929E4"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14.5</w:t>
            </w:r>
          </w:p>
        </w:tc>
        <w:tc>
          <w:tcPr>
            <w:tcW w:w="671" w:type="dxa"/>
            <w:noWrap/>
            <w:hideMark/>
          </w:tcPr>
          <w:p w14:paraId="5388E35F" w14:textId="77777777" w:rsidR="00235E22" w:rsidRPr="00913DC0" w:rsidRDefault="00235E22" w:rsidP="00E22FBE">
            <w:pPr>
              <w:overflowPunct/>
              <w:autoSpaceDE/>
              <w:autoSpaceDN/>
              <w:adjustRightInd/>
              <w:spacing w:after="0"/>
              <w:jc w:val="center"/>
              <w:textAlignment w:val="auto"/>
              <w:rPr>
                <w:rFonts w:ascii="Calibri" w:hAnsi="Calibri"/>
                <w:color w:val="000000"/>
              </w:rPr>
            </w:pPr>
            <w:r w:rsidRPr="00913DC0">
              <w:rPr>
                <w:rFonts w:ascii="Calibri" w:hAnsi="Calibri"/>
                <w:color w:val="000000"/>
              </w:rPr>
              <w:t>15.5</w:t>
            </w:r>
          </w:p>
        </w:tc>
      </w:tr>
    </w:tbl>
    <w:p w14:paraId="4E69A931" w14:textId="77777777" w:rsidR="00D62DCC" w:rsidRDefault="00D62DCC" w:rsidP="004B7A6F">
      <w:pPr>
        <w:spacing w:after="0"/>
        <w:rPr>
          <w:b/>
        </w:rPr>
      </w:pPr>
    </w:p>
    <w:p w14:paraId="0D327CF9" w14:textId="5D87AF61" w:rsidR="00FA3D91" w:rsidRDefault="00FA3D91" w:rsidP="00FA3D91">
      <w:pPr>
        <w:spacing w:after="0"/>
        <w:rPr>
          <w:b/>
        </w:rPr>
      </w:pPr>
      <w:r>
        <w:rPr>
          <w:b/>
        </w:rPr>
        <w:t>Observations on non-contiguous allocations:</w:t>
      </w:r>
    </w:p>
    <w:p w14:paraId="4144576D" w14:textId="347A2C3D" w:rsidR="00FA3D91" w:rsidRDefault="00FA3D91" w:rsidP="00FA3D91">
      <w:pPr>
        <w:pStyle w:val="ListParagraph"/>
        <w:numPr>
          <w:ilvl w:val="0"/>
          <w:numId w:val="25"/>
        </w:numPr>
        <w:spacing w:after="0"/>
        <w:rPr>
          <w:b/>
        </w:rPr>
      </w:pPr>
      <w:r>
        <w:rPr>
          <w:b/>
        </w:rPr>
        <w:t>In general</w:t>
      </w:r>
      <w:r w:rsidR="00A90B67">
        <w:rPr>
          <w:b/>
        </w:rPr>
        <w:t>,</w:t>
      </w:r>
      <w:r>
        <w:rPr>
          <w:b/>
        </w:rPr>
        <w:t xml:space="preserve"> PC2 allocations requires higher MPR than PC3 and this is justified by the fact that the worst case allocation</w:t>
      </w:r>
      <w:r w:rsidR="00A90B67">
        <w:rPr>
          <w:b/>
        </w:rPr>
        <w:t>s</w:t>
      </w:r>
      <w:r>
        <w:rPr>
          <w:b/>
        </w:rPr>
        <w:t xml:space="preserve"> are limited by IMD3 or IMD5 reaching the SEM </w:t>
      </w:r>
      <w:r w:rsidR="00A90B67">
        <w:rPr>
          <w:b/>
        </w:rPr>
        <w:t xml:space="preserve">mask </w:t>
      </w:r>
      <w:r>
        <w:rPr>
          <w:b/>
        </w:rPr>
        <w:t>limit which is</w:t>
      </w:r>
      <w:r w:rsidR="00A90B67">
        <w:rPr>
          <w:b/>
        </w:rPr>
        <w:t>,</w:t>
      </w:r>
      <w:r>
        <w:rPr>
          <w:b/>
        </w:rPr>
        <w:t xml:space="preserve"> in absolute values</w:t>
      </w:r>
      <w:r w:rsidR="00A90B67">
        <w:rPr>
          <w:b/>
        </w:rPr>
        <w:t>,</w:t>
      </w:r>
      <w:r>
        <w:rPr>
          <w:b/>
        </w:rPr>
        <w:t xml:space="preserve"> the same </w:t>
      </w:r>
      <w:r w:rsidR="002F4D0F">
        <w:rPr>
          <w:b/>
        </w:rPr>
        <w:t>as</w:t>
      </w:r>
      <w:r>
        <w:rPr>
          <w:b/>
        </w:rPr>
        <w:t xml:space="preserve"> PC3 but with 3dB higher output power</w:t>
      </w:r>
      <w:r w:rsidR="00A90B67">
        <w:rPr>
          <w:b/>
        </w:rPr>
        <w:t>. We note that</w:t>
      </w:r>
      <w:r>
        <w:rPr>
          <w:b/>
        </w:rPr>
        <w:t xml:space="preserve"> 1dB extra back-off </w:t>
      </w:r>
      <w:r w:rsidR="00AD3178">
        <w:rPr>
          <w:b/>
        </w:rPr>
        <w:t xml:space="preserve">should </w:t>
      </w:r>
      <w:r w:rsidR="002F4D0F">
        <w:rPr>
          <w:b/>
        </w:rPr>
        <w:t>compensate</w:t>
      </w:r>
      <w:r>
        <w:rPr>
          <w:b/>
        </w:rPr>
        <w:t xml:space="preserve"> for this</w:t>
      </w:r>
      <w:r w:rsidR="00AD3178">
        <w:rPr>
          <w:b/>
        </w:rPr>
        <w:t xml:space="preserve"> as PC2 </w:t>
      </w:r>
      <w:r w:rsidR="00A90B67">
        <w:rPr>
          <w:b/>
        </w:rPr>
        <w:t>h</w:t>
      </w:r>
      <w:r w:rsidR="00AD3178">
        <w:rPr>
          <w:b/>
        </w:rPr>
        <w:t xml:space="preserve">as a slightly better linearity at 31 dB ACLR instead of 30 </w:t>
      </w:r>
      <w:proofErr w:type="spellStart"/>
      <w:r w:rsidR="00AD3178">
        <w:rPr>
          <w:b/>
        </w:rPr>
        <w:t>dB</w:t>
      </w:r>
      <w:r>
        <w:rPr>
          <w:b/>
        </w:rPr>
        <w:t>.</w:t>
      </w:r>
      <w:proofErr w:type="spellEnd"/>
    </w:p>
    <w:p w14:paraId="31EEE546" w14:textId="28B94567" w:rsidR="00FA3D91" w:rsidRDefault="00FA3D91" w:rsidP="00FA3D91">
      <w:pPr>
        <w:pStyle w:val="ListParagraph"/>
        <w:numPr>
          <w:ilvl w:val="0"/>
          <w:numId w:val="25"/>
        </w:numPr>
        <w:spacing w:after="0"/>
        <w:rPr>
          <w:b/>
        </w:rPr>
      </w:pPr>
      <w:r>
        <w:rPr>
          <w:b/>
        </w:rPr>
        <w:t>This issue is also the same for NS04 where narrow alloc</w:t>
      </w:r>
      <w:r w:rsidR="00A90B67">
        <w:rPr>
          <w:b/>
        </w:rPr>
        <w:t xml:space="preserve">ations need to meet -25dBm/MHz </w:t>
      </w:r>
      <w:r>
        <w:rPr>
          <w:b/>
        </w:rPr>
        <w:t>with their IMD3 or IMD5</w:t>
      </w:r>
      <w:r w:rsidR="00A90B67">
        <w:rPr>
          <w:b/>
        </w:rPr>
        <w:t>,</w:t>
      </w:r>
      <w:r w:rsidR="00235E22">
        <w:rPr>
          <w:b/>
        </w:rPr>
        <w:t xml:space="preserve"> at least 2 dB higher A-MPR is needed</w:t>
      </w:r>
      <w:r w:rsidR="00A90B67">
        <w:rPr>
          <w:b/>
        </w:rPr>
        <w:t>.</w:t>
      </w:r>
    </w:p>
    <w:p w14:paraId="75DABA66" w14:textId="77777777" w:rsidR="00FA3D91" w:rsidRDefault="00FA3D91" w:rsidP="00FA3D91">
      <w:pPr>
        <w:spacing w:after="0"/>
        <w:rPr>
          <w:b/>
        </w:rPr>
      </w:pPr>
    </w:p>
    <w:p w14:paraId="4C1CE60B" w14:textId="77777777" w:rsidR="00886827" w:rsidRDefault="00886827" w:rsidP="00886827">
      <w:pPr>
        <w:spacing w:after="0"/>
        <w:rPr>
          <w:b/>
        </w:rPr>
      </w:pPr>
      <w:r>
        <w:rPr>
          <w:b/>
        </w:rPr>
        <w:t>Proposal 4 on non-contiguous allocations:</w:t>
      </w:r>
    </w:p>
    <w:p w14:paraId="0BB2133C" w14:textId="77777777" w:rsidR="00886827" w:rsidRDefault="00886827" w:rsidP="00886827">
      <w:pPr>
        <w:pStyle w:val="ListParagraph"/>
        <w:numPr>
          <w:ilvl w:val="0"/>
          <w:numId w:val="26"/>
        </w:numPr>
        <w:spacing w:after="0"/>
        <w:rPr>
          <w:b/>
        </w:rPr>
      </w:pPr>
      <w:r>
        <w:rPr>
          <w:b/>
        </w:rPr>
        <w:t>Contiguous Inner, Outer1 and Outer 2 allocations definition for PC3 is adopted for PC2</w:t>
      </w:r>
    </w:p>
    <w:p w14:paraId="4998931A" w14:textId="77777777" w:rsidR="00886827" w:rsidRPr="00886827" w:rsidRDefault="00886827" w:rsidP="00886827">
      <w:pPr>
        <w:pStyle w:val="ListParagraph"/>
        <w:numPr>
          <w:ilvl w:val="0"/>
          <w:numId w:val="26"/>
        </w:numPr>
        <w:spacing w:after="0"/>
        <w:rPr>
          <w:b/>
        </w:rPr>
      </w:pPr>
      <w:r w:rsidRPr="00886827">
        <w:rPr>
          <w:b/>
        </w:rPr>
        <w:lastRenderedPageBreak/>
        <w:t>PC3 QPSK MPR is adopted for PC2 (1Tx) with 1 dB additional back-off</w:t>
      </w:r>
    </w:p>
    <w:p w14:paraId="7D503006" w14:textId="1954B2FB" w:rsidR="00886827" w:rsidRPr="00235E22" w:rsidRDefault="00886827" w:rsidP="00886827">
      <w:pPr>
        <w:pStyle w:val="ListParagraph"/>
        <w:numPr>
          <w:ilvl w:val="0"/>
          <w:numId w:val="26"/>
        </w:numPr>
        <w:spacing w:after="0"/>
        <w:rPr>
          <w:b/>
        </w:rPr>
      </w:pPr>
      <w:r w:rsidRPr="00235E22">
        <w:rPr>
          <w:b/>
        </w:rPr>
        <w:t>PC2 (1Tx) NS04 A-MPR is FFS but larger than PC3 especially for some inner allocation</w:t>
      </w:r>
      <w:r w:rsidR="00A90B67">
        <w:rPr>
          <w:b/>
        </w:rPr>
        <w:t>.</w:t>
      </w:r>
    </w:p>
    <w:p w14:paraId="7BE54F94" w14:textId="77777777" w:rsidR="00305289" w:rsidRDefault="00305289" w:rsidP="00305289">
      <w:pPr>
        <w:pStyle w:val="Heading1"/>
      </w:pPr>
      <w:r>
        <w:t>Conclusions</w:t>
      </w:r>
    </w:p>
    <w:p w14:paraId="272ACCE4" w14:textId="10705D5C" w:rsidR="00305289" w:rsidRDefault="00305289" w:rsidP="00305289">
      <w:pPr>
        <w:spacing w:after="0"/>
        <w:jc w:val="both"/>
      </w:pPr>
      <w:r>
        <w:t xml:space="preserve">In this contribution, we </w:t>
      </w:r>
      <w:r w:rsidR="00235E22">
        <w:t xml:space="preserve">first discuss implementation options for PC2 contiguous UL AC, </w:t>
      </w:r>
      <w:r w:rsidR="0031291F">
        <w:t xml:space="preserve">then, SEM and ACLR requirements </w:t>
      </w:r>
      <w:r w:rsidR="00886827">
        <w:t xml:space="preserve">resulting in </w:t>
      </w:r>
      <w:r w:rsidR="002968C1">
        <w:t xml:space="preserve">the </w:t>
      </w:r>
      <w:r w:rsidR="00886827">
        <w:t>following proposals.</w:t>
      </w:r>
    </w:p>
    <w:p w14:paraId="1A035788" w14:textId="77777777" w:rsidR="00886827" w:rsidRDefault="00886827" w:rsidP="00305289">
      <w:pPr>
        <w:spacing w:after="0"/>
        <w:jc w:val="both"/>
      </w:pPr>
    </w:p>
    <w:p w14:paraId="155FB8C3" w14:textId="77777777" w:rsidR="00A90B67" w:rsidRDefault="00A90B67" w:rsidP="00A90B67">
      <w:pPr>
        <w:spacing w:after="0"/>
        <w:rPr>
          <w:b/>
        </w:rPr>
      </w:pPr>
      <w:r>
        <w:rPr>
          <w:b/>
        </w:rPr>
        <w:t>Proposal 1 on HPUE architecture for class C contiguous UL CA:</w:t>
      </w:r>
    </w:p>
    <w:p w14:paraId="143FDA33" w14:textId="77777777" w:rsidR="00A90B67" w:rsidRDefault="00A90B67" w:rsidP="00A90B67">
      <w:pPr>
        <w:pStyle w:val="ListParagraph"/>
        <w:numPr>
          <w:ilvl w:val="0"/>
          <w:numId w:val="26"/>
        </w:numPr>
        <w:spacing w:after="0"/>
        <w:rPr>
          <w:b/>
        </w:rPr>
      </w:pPr>
      <w:r>
        <w:rPr>
          <w:b/>
        </w:rPr>
        <w:t>A single TX PC2 PA is the baseline to develop requirement</w:t>
      </w:r>
    </w:p>
    <w:p w14:paraId="70A28355" w14:textId="77777777" w:rsidR="00A90B67" w:rsidRPr="00D62F14" w:rsidRDefault="00A90B67" w:rsidP="00A90B67">
      <w:pPr>
        <w:pStyle w:val="ListParagraph"/>
        <w:numPr>
          <w:ilvl w:val="0"/>
          <w:numId w:val="26"/>
        </w:numPr>
        <w:spacing w:after="0"/>
        <w:rPr>
          <w:b/>
        </w:rPr>
      </w:pPr>
      <w:r>
        <w:rPr>
          <w:b/>
        </w:rPr>
        <w:t xml:space="preserve">Additional requirement for two PC3 PAs architecture is FFS once single CC related requirements are </w:t>
      </w:r>
      <w:bookmarkStart w:id="2" w:name="_GoBack"/>
      <w:bookmarkEnd w:id="2"/>
      <w:r>
        <w:rPr>
          <w:b/>
        </w:rPr>
        <w:t>finalized.</w:t>
      </w:r>
    </w:p>
    <w:p w14:paraId="215B261D" w14:textId="77777777" w:rsidR="00886827" w:rsidRDefault="00886827" w:rsidP="00886827">
      <w:pPr>
        <w:spacing w:after="0"/>
        <w:rPr>
          <w:b/>
        </w:rPr>
      </w:pPr>
    </w:p>
    <w:p w14:paraId="7388EA90" w14:textId="41BA3A0F" w:rsidR="00A90B67" w:rsidRDefault="00A90B67" w:rsidP="00A90B67">
      <w:pPr>
        <w:spacing w:after="0"/>
        <w:rPr>
          <w:b/>
        </w:rPr>
      </w:pPr>
      <w:r>
        <w:rPr>
          <w:b/>
        </w:rPr>
        <w:t>Proposal 2 on ACLR and SEM requirement</w:t>
      </w:r>
      <w:r w:rsidR="002968C1">
        <w:rPr>
          <w:b/>
        </w:rPr>
        <w:t>s</w:t>
      </w:r>
      <w:r>
        <w:rPr>
          <w:b/>
        </w:rPr>
        <w:t xml:space="preserve"> for PC2 contiguous UL CA:</w:t>
      </w:r>
    </w:p>
    <w:p w14:paraId="669B8175" w14:textId="77777777" w:rsidR="00A90B67" w:rsidRDefault="00A90B67" w:rsidP="00A90B67">
      <w:pPr>
        <w:pStyle w:val="ListParagraph"/>
        <w:numPr>
          <w:ilvl w:val="0"/>
          <w:numId w:val="26"/>
        </w:numPr>
        <w:spacing w:after="0"/>
        <w:rPr>
          <w:b/>
        </w:rPr>
      </w:pPr>
      <w:r>
        <w:rPr>
          <w:b/>
        </w:rPr>
        <w:t>PC2 ACLR is PC3 ACLR+1 dB at 31 dB</w:t>
      </w:r>
    </w:p>
    <w:p w14:paraId="76C25C1D" w14:textId="77777777" w:rsidR="00A90B67" w:rsidRPr="00886827" w:rsidRDefault="00A90B67" w:rsidP="00A90B67">
      <w:pPr>
        <w:pStyle w:val="ListParagraph"/>
        <w:numPr>
          <w:ilvl w:val="0"/>
          <w:numId w:val="26"/>
        </w:numPr>
        <w:spacing w:after="0"/>
        <w:rPr>
          <w:b/>
        </w:rPr>
      </w:pPr>
      <w:r w:rsidRPr="00886827">
        <w:rPr>
          <w:b/>
        </w:rPr>
        <w:t>PC2 SEM is the same as for PC3</w:t>
      </w:r>
      <w:r>
        <w:rPr>
          <w:b/>
        </w:rPr>
        <w:t>.</w:t>
      </w:r>
    </w:p>
    <w:p w14:paraId="7B54FE2C" w14:textId="77777777" w:rsidR="00886827" w:rsidRDefault="00886827" w:rsidP="00886827">
      <w:pPr>
        <w:spacing w:after="0"/>
        <w:rPr>
          <w:b/>
        </w:rPr>
      </w:pPr>
    </w:p>
    <w:p w14:paraId="4BA6F3A0" w14:textId="79C12BD3" w:rsidR="00886827" w:rsidRPr="00886827" w:rsidRDefault="00886827" w:rsidP="00886827">
      <w:pPr>
        <w:spacing w:after="0"/>
      </w:pPr>
      <w:r w:rsidRPr="00886827">
        <w:t>Furthermore</w:t>
      </w:r>
      <w:r w:rsidR="00A90B67">
        <w:t>,</w:t>
      </w:r>
      <w:r w:rsidRPr="00886827">
        <w:t xml:space="preserve"> back-off measurements are presented for contiguous and non-contiguous allocation MPR and A-MPR.</w:t>
      </w:r>
    </w:p>
    <w:p w14:paraId="16EAC606" w14:textId="77777777" w:rsidR="002F54A3" w:rsidRDefault="002F54A3" w:rsidP="00305289">
      <w:pPr>
        <w:spacing w:after="0"/>
        <w:jc w:val="both"/>
      </w:pPr>
    </w:p>
    <w:p w14:paraId="4DFD5958" w14:textId="77777777" w:rsidR="00A90B67" w:rsidRDefault="00A90B67" w:rsidP="00A90B67">
      <w:pPr>
        <w:spacing w:after="0"/>
        <w:rPr>
          <w:b/>
        </w:rPr>
      </w:pPr>
      <w:r>
        <w:rPr>
          <w:b/>
        </w:rPr>
        <w:t>Proposal 3 on contiguous allocations:</w:t>
      </w:r>
    </w:p>
    <w:p w14:paraId="0B59700B" w14:textId="77777777" w:rsidR="00A90B67" w:rsidRDefault="00A90B67" w:rsidP="00A90B67">
      <w:pPr>
        <w:pStyle w:val="ListParagraph"/>
        <w:numPr>
          <w:ilvl w:val="0"/>
          <w:numId w:val="26"/>
        </w:numPr>
        <w:spacing w:after="0"/>
        <w:rPr>
          <w:b/>
        </w:rPr>
      </w:pPr>
      <w:r>
        <w:rPr>
          <w:b/>
        </w:rPr>
        <w:t>Contiguous Inner and Outer allocations definition for PC3 is adopted for PC2 (1Tx)</w:t>
      </w:r>
    </w:p>
    <w:p w14:paraId="012C1F21" w14:textId="77777777" w:rsidR="00A90B67" w:rsidRDefault="00A90B67" w:rsidP="00A90B67">
      <w:pPr>
        <w:pStyle w:val="ListParagraph"/>
        <w:numPr>
          <w:ilvl w:val="0"/>
          <w:numId w:val="26"/>
        </w:numPr>
        <w:spacing w:after="0"/>
        <w:rPr>
          <w:b/>
        </w:rPr>
      </w:pPr>
      <w:r>
        <w:rPr>
          <w:b/>
        </w:rPr>
        <w:t>PC3 QPSK Inner MPR is adopted for PC2 (1Tx)</w:t>
      </w:r>
    </w:p>
    <w:p w14:paraId="14B2F342" w14:textId="77777777" w:rsidR="00A90B67" w:rsidRDefault="00A90B67" w:rsidP="00A90B67">
      <w:pPr>
        <w:pStyle w:val="ListParagraph"/>
        <w:numPr>
          <w:ilvl w:val="0"/>
          <w:numId w:val="26"/>
        </w:numPr>
        <w:spacing w:after="0"/>
        <w:rPr>
          <w:b/>
        </w:rPr>
      </w:pPr>
      <w:r>
        <w:rPr>
          <w:b/>
        </w:rPr>
        <w:t>PC3 QPSK Outer MPR is adopted for PC2 (1Tx) with a potential reduction due to better ACLR</w:t>
      </w:r>
    </w:p>
    <w:p w14:paraId="302ADC48" w14:textId="77777777" w:rsidR="00A90B67" w:rsidRPr="00D62F14" w:rsidRDefault="00A90B67" w:rsidP="00A90B67">
      <w:pPr>
        <w:pStyle w:val="ListParagraph"/>
        <w:numPr>
          <w:ilvl w:val="0"/>
          <w:numId w:val="26"/>
        </w:numPr>
        <w:spacing w:after="0"/>
        <w:rPr>
          <w:b/>
        </w:rPr>
      </w:pPr>
      <w:r>
        <w:rPr>
          <w:b/>
        </w:rPr>
        <w:t>PC2 (1Tx) NS04 A-MPR is FFS but larger than PC3 especially for some inner allocation.</w:t>
      </w:r>
    </w:p>
    <w:p w14:paraId="0113DFB4" w14:textId="77777777" w:rsidR="00886827" w:rsidRDefault="00886827" w:rsidP="00886827">
      <w:pPr>
        <w:spacing w:after="0"/>
        <w:rPr>
          <w:b/>
        </w:rPr>
      </w:pPr>
    </w:p>
    <w:p w14:paraId="4D5CA1E3" w14:textId="77777777" w:rsidR="00A90B67" w:rsidRDefault="00A90B67" w:rsidP="00A90B67">
      <w:pPr>
        <w:spacing w:after="0"/>
        <w:rPr>
          <w:b/>
        </w:rPr>
      </w:pPr>
      <w:r>
        <w:rPr>
          <w:b/>
        </w:rPr>
        <w:t>Proposal 4 on non-contiguous allocations:</w:t>
      </w:r>
    </w:p>
    <w:p w14:paraId="75BB6FFB" w14:textId="77777777" w:rsidR="00A90B67" w:rsidRDefault="00A90B67" w:rsidP="00A90B67">
      <w:pPr>
        <w:pStyle w:val="ListParagraph"/>
        <w:numPr>
          <w:ilvl w:val="0"/>
          <w:numId w:val="26"/>
        </w:numPr>
        <w:spacing w:after="0"/>
        <w:rPr>
          <w:b/>
        </w:rPr>
      </w:pPr>
      <w:r>
        <w:rPr>
          <w:b/>
        </w:rPr>
        <w:t>Contiguous Inner, Outer1 and Outer 2 allocations definition for PC3 is adopted for PC2</w:t>
      </w:r>
    </w:p>
    <w:p w14:paraId="32C3ED51" w14:textId="77777777" w:rsidR="00A90B67" w:rsidRPr="00886827" w:rsidRDefault="00A90B67" w:rsidP="00A90B67">
      <w:pPr>
        <w:pStyle w:val="ListParagraph"/>
        <w:numPr>
          <w:ilvl w:val="0"/>
          <w:numId w:val="26"/>
        </w:numPr>
        <w:spacing w:after="0"/>
        <w:rPr>
          <w:b/>
        </w:rPr>
      </w:pPr>
      <w:r w:rsidRPr="00886827">
        <w:rPr>
          <w:b/>
        </w:rPr>
        <w:t>PC3 QPSK MPR is adopted for PC2 (1Tx) with 1 dB additional back-off</w:t>
      </w:r>
    </w:p>
    <w:p w14:paraId="2173FD17" w14:textId="77777777" w:rsidR="00A90B67" w:rsidRPr="00235E22" w:rsidRDefault="00A90B67" w:rsidP="00A90B67">
      <w:pPr>
        <w:pStyle w:val="ListParagraph"/>
        <w:numPr>
          <w:ilvl w:val="0"/>
          <w:numId w:val="26"/>
        </w:numPr>
        <w:spacing w:after="0"/>
        <w:rPr>
          <w:b/>
        </w:rPr>
      </w:pPr>
      <w:r w:rsidRPr="00235E22">
        <w:rPr>
          <w:b/>
        </w:rPr>
        <w:t>PC2 (1Tx) NS04 A-MPR is FFS but larger than PC3 especially for some inner allocation</w:t>
      </w:r>
      <w:r>
        <w:rPr>
          <w:b/>
        </w:rPr>
        <w:t>.</w:t>
      </w:r>
    </w:p>
    <w:p w14:paraId="03D6921F" w14:textId="77777777" w:rsidR="00F10F97" w:rsidRDefault="007321E3" w:rsidP="00C8525F">
      <w:pPr>
        <w:pStyle w:val="Heading1"/>
        <w:numPr>
          <w:ilvl w:val="0"/>
          <w:numId w:val="0"/>
        </w:numPr>
        <w:jc w:val="both"/>
      </w:pPr>
      <w:r>
        <w:t>R</w:t>
      </w:r>
      <w:r w:rsidR="00F10F97">
        <w:t>eferences</w:t>
      </w:r>
    </w:p>
    <w:p w14:paraId="17A56512" w14:textId="26F3DC00" w:rsidR="00B05C9F" w:rsidRPr="00B05C9F" w:rsidRDefault="001B39A7" w:rsidP="00B05C9F">
      <w:r>
        <w:t>[1</w:t>
      </w:r>
      <w:r w:rsidR="00357919" w:rsidRPr="00DD0023">
        <w:t>]</w:t>
      </w:r>
      <w:r w:rsidR="00357919" w:rsidRPr="00DD0023">
        <w:tab/>
      </w:r>
      <w:r w:rsidR="006D00AC">
        <w:t xml:space="preserve">RP-202088 New WID proposal: RF requirements enhancement for NR frequency range 1 (FR1) in Rel-17, Huawei, </w:t>
      </w:r>
      <w:r w:rsidR="00136D99">
        <w:t>RAN#89e</w:t>
      </w:r>
    </w:p>
    <w:p w14:paraId="3F23282C" w14:textId="1673A300" w:rsidR="00B05C9F" w:rsidRDefault="00B05C9F" w:rsidP="00B05C9F">
      <w:pPr>
        <w:pStyle w:val="Heading1"/>
        <w:numPr>
          <w:ilvl w:val="0"/>
          <w:numId w:val="0"/>
        </w:numPr>
        <w:jc w:val="both"/>
      </w:pPr>
      <w:r>
        <w:t>Annexes</w:t>
      </w:r>
    </w:p>
    <w:p w14:paraId="3E0B1A82" w14:textId="4F224D3B" w:rsidR="00B05C9F" w:rsidRDefault="00B05C9F" w:rsidP="00B05C9F">
      <w:pPr>
        <w:pStyle w:val="Heading2"/>
        <w:numPr>
          <w:ilvl w:val="0"/>
          <w:numId w:val="0"/>
        </w:numPr>
        <w:spacing w:after="240"/>
        <w:rPr>
          <w:sz w:val="36"/>
          <w:lang w:val="en-US"/>
        </w:rPr>
      </w:pPr>
      <w:r>
        <w:rPr>
          <w:sz w:val="36"/>
          <w:lang w:val="en-US"/>
        </w:rPr>
        <w:t>Measurements Results for Contiguous Allocations</w:t>
      </w:r>
    </w:p>
    <w:p w14:paraId="2DC26E6E" w14:textId="4E4E89B7" w:rsidR="00054D9C" w:rsidRDefault="00054D9C" w:rsidP="00054D9C">
      <w:pPr>
        <w:pStyle w:val="Caption"/>
        <w:keepNext/>
        <w:jc w:val="center"/>
      </w:pPr>
      <w:r>
        <w:lastRenderedPageBreak/>
        <w:t xml:space="preserve">Table </w:t>
      </w:r>
      <w:fldSimple w:instr=" SEQ Table \* ARABIC ">
        <w:r w:rsidR="00913DC0">
          <w:rPr>
            <w:noProof/>
          </w:rPr>
          <w:t>4</w:t>
        </w:r>
      </w:fldSimple>
      <w:r>
        <w:t>: NS_01 and NS_04 power capability for contiguous allocation</w:t>
      </w:r>
    </w:p>
    <w:p w14:paraId="07886C0A" w14:textId="41C4FE13" w:rsidR="00B05C9F" w:rsidRDefault="00054D9C" w:rsidP="00054D9C">
      <w:pPr>
        <w:jc w:val="center"/>
      </w:pPr>
      <w:r w:rsidRPr="00054D9C">
        <w:rPr>
          <w:noProof/>
        </w:rPr>
        <w:drawing>
          <wp:inline distT="0" distB="0" distL="0" distR="0" wp14:anchorId="518FE9BC" wp14:editId="75510F4D">
            <wp:extent cx="5440680" cy="53111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40680" cy="5311140"/>
                    </a:xfrm>
                    <a:prstGeom prst="rect">
                      <a:avLst/>
                    </a:prstGeom>
                    <a:noFill/>
                    <a:ln>
                      <a:noFill/>
                    </a:ln>
                  </pic:spPr>
                </pic:pic>
              </a:graphicData>
            </a:graphic>
          </wp:inline>
        </w:drawing>
      </w:r>
    </w:p>
    <w:p w14:paraId="5AFA8411" w14:textId="57A95DE9" w:rsidR="00054D9C" w:rsidRDefault="00054D9C" w:rsidP="00054D9C">
      <w:pPr>
        <w:pStyle w:val="Heading2"/>
        <w:numPr>
          <w:ilvl w:val="0"/>
          <w:numId w:val="0"/>
        </w:numPr>
        <w:spacing w:after="240"/>
        <w:rPr>
          <w:sz w:val="36"/>
          <w:lang w:val="en-US"/>
        </w:rPr>
      </w:pPr>
      <w:r>
        <w:rPr>
          <w:sz w:val="36"/>
          <w:lang w:val="en-US"/>
        </w:rPr>
        <w:t>Measurements Results for Non-Contiguous Allocations</w:t>
      </w:r>
    </w:p>
    <w:p w14:paraId="45452EC0" w14:textId="1BE29105" w:rsidR="00054D9C" w:rsidRDefault="00054D9C" w:rsidP="00054D9C">
      <w:pPr>
        <w:pStyle w:val="Caption"/>
        <w:keepNext/>
        <w:jc w:val="center"/>
      </w:pPr>
      <w:r>
        <w:lastRenderedPageBreak/>
        <w:t xml:space="preserve">Table </w:t>
      </w:r>
      <w:fldSimple w:instr=" SEQ Table \* ARABIC ">
        <w:r w:rsidR="00913DC0">
          <w:rPr>
            <w:noProof/>
          </w:rPr>
          <w:t>5</w:t>
        </w:r>
      </w:fldSimple>
      <w:r>
        <w:t>:</w:t>
      </w:r>
      <w:r w:rsidRPr="00054D9C">
        <w:t xml:space="preserve"> </w:t>
      </w:r>
      <w:r>
        <w:t>NS_01 and NS_04 power capability for non-contiguous allocation (HV)</w:t>
      </w:r>
    </w:p>
    <w:p w14:paraId="36061C1B" w14:textId="6E6C4907" w:rsidR="00054D9C" w:rsidRDefault="00054D9C" w:rsidP="00054D9C">
      <w:pPr>
        <w:jc w:val="center"/>
      </w:pPr>
      <w:r w:rsidRPr="00054D9C">
        <w:rPr>
          <w:noProof/>
        </w:rPr>
        <w:drawing>
          <wp:inline distT="0" distB="0" distL="0" distR="0" wp14:anchorId="42237635" wp14:editId="13367C19">
            <wp:extent cx="5654040" cy="8449082"/>
            <wp:effectExtent l="0" t="0" r="381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57958" cy="8454937"/>
                    </a:xfrm>
                    <a:prstGeom prst="rect">
                      <a:avLst/>
                    </a:prstGeom>
                    <a:noFill/>
                    <a:ln>
                      <a:noFill/>
                    </a:ln>
                  </pic:spPr>
                </pic:pic>
              </a:graphicData>
            </a:graphic>
          </wp:inline>
        </w:drawing>
      </w:r>
    </w:p>
    <w:p w14:paraId="38DDDDD4" w14:textId="77777777" w:rsidR="00DB6E67" w:rsidRDefault="00DB6E67" w:rsidP="00054D9C">
      <w:pPr>
        <w:jc w:val="center"/>
      </w:pPr>
    </w:p>
    <w:p w14:paraId="3293F172" w14:textId="21D04CAB" w:rsidR="00DB6E67" w:rsidRPr="00054D9C" w:rsidRDefault="00DB6E67" w:rsidP="00DB6E67">
      <w:pPr>
        <w:pStyle w:val="Caption"/>
        <w:keepNext/>
        <w:jc w:val="center"/>
      </w:pPr>
      <w:r>
        <w:t xml:space="preserve">Table </w:t>
      </w:r>
      <w:fldSimple w:instr=" SEQ Table \* ARABIC ">
        <w:r w:rsidR="00913DC0">
          <w:rPr>
            <w:noProof/>
          </w:rPr>
          <w:t>6</w:t>
        </w:r>
      </w:fldSimple>
      <w:r>
        <w:t>:</w:t>
      </w:r>
      <w:r w:rsidRPr="00054D9C">
        <w:t xml:space="preserve"> </w:t>
      </w:r>
      <w:r>
        <w:t>NS_04 power capability for non-contiguous allocation (LV)</w:t>
      </w:r>
    </w:p>
    <w:p w14:paraId="62C281CD" w14:textId="287A0793" w:rsidR="00054D9C" w:rsidRDefault="00DB6E67" w:rsidP="00DB6E67">
      <w:pPr>
        <w:jc w:val="center"/>
      </w:pPr>
      <w:r w:rsidRPr="00DB6E67">
        <w:rPr>
          <w:noProof/>
        </w:rPr>
        <w:drawing>
          <wp:inline distT="0" distB="0" distL="0" distR="0" wp14:anchorId="1A7E646C" wp14:editId="4062C706">
            <wp:extent cx="5288280" cy="5311140"/>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8280" cy="5311140"/>
                    </a:xfrm>
                    <a:prstGeom prst="rect">
                      <a:avLst/>
                    </a:prstGeom>
                    <a:noFill/>
                    <a:ln>
                      <a:noFill/>
                    </a:ln>
                  </pic:spPr>
                </pic:pic>
              </a:graphicData>
            </a:graphic>
          </wp:inline>
        </w:drawing>
      </w:r>
    </w:p>
    <w:sectPr w:rsidR="00054D9C" w:rsidSect="00EA0A48">
      <w:footerReference w:type="default" r:id="rId13"/>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0BFD9" w14:textId="77777777" w:rsidR="007E30D4" w:rsidRDefault="007E30D4">
      <w:r>
        <w:separator/>
      </w:r>
    </w:p>
  </w:endnote>
  <w:endnote w:type="continuationSeparator" w:id="0">
    <w:p w14:paraId="2DB076E9" w14:textId="77777777" w:rsidR="007E30D4" w:rsidRDefault="007E3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FA3D91" w:rsidRDefault="00FA3D9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E03F49" w14:textId="77777777" w:rsidR="007E30D4" w:rsidRDefault="007E30D4">
      <w:r>
        <w:separator/>
      </w:r>
    </w:p>
  </w:footnote>
  <w:footnote w:type="continuationSeparator" w:id="0">
    <w:p w14:paraId="516310BC" w14:textId="77777777" w:rsidR="007E30D4" w:rsidRDefault="007E30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2EB0"/>
    <w:multiLevelType w:val="hybridMultilevel"/>
    <w:tmpl w:val="A4B4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D96A7F"/>
    <w:multiLevelType w:val="hybridMultilevel"/>
    <w:tmpl w:val="D69A6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FA2DCE"/>
    <w:multiLevelType w:val="hybridMultilevel"/>
    <w:tmpl w:val="07C42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A4D3CD2"/>
    <w:multiLevelType w:val="hybridMultilevel"/>
    <w:tmpl w:val="BF860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203C51F3"/>
    <w:multiLevelType w:val="hybridMultilevel"/>
    <w:tmpl w:val="4AACF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560B0E"/>
    <w:multiLevelType w:val="hybridMultilevel"/>
    <w:tmpl w:val="B752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0843D8"/>
    <w:multiLevelType w:val="hybridMultilevel"/>
    <w:tmpl w:val="F1BC52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C6E3C08"/>
    <w:multiLevelType w:val="hybridMultilevel"/>
    <w:tmpl w:val="5E7E9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EFD6B67"/>
    <w:multiLevelType w:val="hybridMultilevel"/>
    <w:tmpl w:val="15944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2">
    <w:nsid w:val="339B0D88"/>
    <w:multiLevelType w:val="hybridMultilevel"/>
    <w:tmpl w:val="794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955E38"/>
    <w:multiLevelType w:val="hybridMultilevel"/>
    <w:tmpl w:val="AFF6F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FA4596"/>
    <w:multiLevelType w:val="hybridMultilevel"/>
    <w:tmpl w:val="97E4A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FC74FA1"/>
    <w:multiLevelType w:val="hybridMultilevel"/>
    <w:tmpl w:val="3B105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0">
    <w:nsid w:val="6AA92DC4"/>
    <w:multiLevelType w:val="hybridMultilevel"/>
    <w:tmpl w:val="E5687B56"/>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216000A"/>
    <w:multiLevelType w:val="hybridMultilevel"/>
    <w:tmpl w:val="6C6CE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992731"/>
    <w:multiLevelType w:val="hybridMultilevel"/>
    <w:tmpl w:val="961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6E0B2C"/>
    <w:multiLevelType w:val="hybridMultilevel"/>
    <w:tmpl w:val="96A6D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AD63A2"/>
    <w:multiLevelType w:val="hybridMultilevel"/>
    <w:tmpl w:val="0FAC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6"/>
  </w:num>
  <w:num w:numId="4">
    <w:abstractNumId w:val="25"/>
  </w:num>
  <w:num w:numId="5">
    <w:abstractNumId w:val="11"/>
  </w:num>
  <w:num w:numId="6">
    <w:abstractNumId w:val="3"/>
  </w:num>
  <w:num w:numId="7">
    <w:abstractNumId w:val="17"/>
  </w:num>
  <w:num w:numId="8">
    <w:abstractNumId w:val="21"/>
  </w:num>
  <w:num w:numId="9">
    <w:abstractNumId w:val="2"/>
  </w:num>
  <w:num w:numId="10">
    <w:abstractNumId w:val="4"/>
  </w:num>
  <w:num w:numId="11">
    <w:abstractNumId w:val="9"/>
  </w:num>
  <w:num w:numId="12">
    <w:abstractNumId w:val="6"/>
  </w:num>
  <w:num w:numId="13">
    <w:abstractNumId w:val="18"/>
  </w:num>
  <w:num w:numId="14">
    <w:abstractNumId w:val="14"/>
  </w:num>
  <w:num w:numId="15">
    <w:abstractNumId w:val="23"/>
  </w:num>
  <w:num w:numId="16">
    <w:abstractNumId w:val="26"/>
  </w:num>
  <w:num w:numId="17">
    <w:abstractNumId w:val="1"/>
  </w:num>
  <w:num w:numId="18">
    <w:abstractNumId w:val="7"/>
  </w:num>
  <w:num w:numId="19">
    <w:abstractNumId w:val="0"/>
  </w:num>
  <w:num w:numId="20">
    <w:abstractNumId w:val="24"/>
  </w:num>
  <w:num w:numId="21">
    <w:abstractNumId w:val="20"/>
  </w:num>
  <w:num w:numId="22">
    <w:abstractNumId w:val="8"/>
  </w:num>
  <w:num w:numId="23">
    <w:abstractNumId w:val="15"/>
  </w:num>
  <w:num w:numId="24">
    <w:abstractNumId w:val="10"/>
  </w:num>
  <w:num w:numId="25">
    <w:abstractNumId w:val="12"/>
  </w:num>
  <w:num w:numId="26">
    <w:abstractNumId w:val="22"/>
  </w:num>
  <w:num w:numId="27">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D3C"/>
    <w:rsid w:val="00025FE8"/>
    <w:rsid w:val="000260EB"/>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4D9C"/>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075D"/>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226"/>
    <w:rsid w:val="00113319"/>
    <w:rsid w:val="001144A4"/>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1D3"/>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7A9"/>
    <w:rsid w:val="001C389D"/>
    <w:rsid w:val="001C3E21"/>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5E22"/>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1CB"/>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8C1"/>
    <w:rsid w:val="00296B5D"/>
    <w:rsid w:val="00296CC1"/>
    <w:rsid w:val="00296E6B"/>
    <w:rsid w:val="00297451"/>
    <w:rsid w:val="00297A9D"/>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0E07"/>
    <w:rsid w:val="002F10F3"/>
    <w:rsid w:val="002F11FE"/>
    <w:rsid w:val="002F169C"/>
    <w:rsid w:val="002F269A"/>
    <w:rsid w:val="002F2D3B"/>
    <w:rsid w:val="002F2DF1"/>
    <w:rsid w:val="002F3086"/>
    <w:rsid w:val="002F32C4"/>
    <w:rsid w:val="002F35E1"/>
    <w:rsid w:val="002F389A"/>
    <w:rsid w:val="002F41AD"/>
    <w:rsid w:val="002F43FB"/>
    <w:rsid w:val="002F4D0F"/>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91F"/>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27D10"/>
    <w:rsid w:val="00331251"/>
    <w:rsid w:val="0033133D"/>
    <w:rsid w:val="0033198B"/>
    <w:rsid w:val="00331A79"/>
    <w:rsid w:val="00331B0D"/>
    <w:rsid w:val="00331E9F"/>
    <w:rsid w:val="00331F70"/>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42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2D3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05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5F"/>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A6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41"/>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A89"/>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BE8"/>
    <w:rsid w:val="00532F87"/>
    <w:rsid w:val="005332D7"/>
    <w:rsid w:val="0053355C"/>
    <w:rsid w:val="00533BA8"/>
    <w:rsid w:val="00533CC8"/>
    <w:rsid w:val="00533DD2"/>
    <w:rsid w:val="005346E8"/>
    <w:rsid w:val="00534F60"/>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13C"/>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762"/>
    <w:rsid w:val="005C0ACD"/>
    <w:rsid w:val="005C0FCA"/>
    <w:rsid w:val="005C107E"/>
    <w:rsid w:val="005C1755"/>
    <w:rsid w:val="005C20D4"/>
    <w:rsid w:val="005C2330"/>
    <w:rsid w:val="005C25A5"/>
    <w:rsid w:val="005C2DDB"/>
    <w:rsid w:val="005C319B"/>
    <w:rsid w:val="005C44DB"/>
    <w:rsid w:val="005C476D"/>
    <w:rsid w:val="005C4878"/>
    <w:rsid w:val="005C49B0"/>
    <w:rsid w:val="005C4A8E"/>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DD8"/>
    <w:rsid w:val="0060712C"/>
    <w:rsid w:val="00607AAD"/>
    <w:rsid w:val="00607B9B"/>
    <w:rsid w:val="00607C77"/>
    <w:rsid w:val="00607D29"/>
    <w:rsid w:val="00610135"/>
    <w:rsid w:val="00610AE7"/>
    <w:rsid w:val="00611234"/>
    <w:rsid w:val="00611244"/>
    <w:rsid w:val="0061127B"/>
    <w:rsid w:val="0061131E"/>
    <w:rsid w:val="0061155D"/>
    <w:rsid w:val="00611578"/>
    <w:rsid w:val="006118A0"/>
    <w:rsid w:val="00612298"/>
    <w:rsid w:val="0061247F"/>
    <w:rsid w:val="006127A9"/>
    <w:rsid w:val="00612863"/>
    <w:rsid w:val="006134E7"/>
    <w:rsid w:val="00613D72"/>
    <w:rsid w:val="006143DC"/>
    <w:rsid w:val="0061448A"/>
    <w:rsid w:val="00614793"/>
    <w:rsid w:val="0061502F"/>
    <w:rsid w:val="006151BB"/>
    <w:rsid w:val="0061557A"/>
    <w:rsid w:val="0061574F"/>
    <w:rsid w:val="006159E4"/>
    <w:rsid w:val="00617162"/>
    <w:rsid w:val="00617417"/>
    <w:rsid w:val="00617653"/>
    <w:rsid w:val="006177D1"/>
    <w:rsid w:val="00617861"/>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6F"/>
    <w:rsid w:val="006A3874"/>
    <w:rsid w:val="006A395C"/>
    <w:rsid w:val="006A404F"/>
    <w:rsid w:val="006A4189"/>
    <w:rsid w:val="006A46A7"/>
    <w:rsid w:val="006A4A4E"/>
    <w:rsid w:val="006A5591"/>
    <w:rsid w:val="006A5C86"/>
    <w:rsid w:val="006A5E00"/>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0AC"/>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340"/>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52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03F"/>
    <w:rsid w:val="007758C4"/>
    <w:rsid w:val="00775C1B"/>
    <w:rsid w:val="00775C6D"/>
    <w:rsid w:val="00776BAF"/>
    <w:rsid w:val="00776DF4"/>
    <w:rsid w:val="00776ECF"/>
    <w:rsid w:val="00777FEA"/>
    <w:rsid w:val="0078020B"/>
    <w:rsid w:val="00780234"/>
    <w:rsid w:val="00780611"/>
    <w:rsid w:val="00780B2A"/>
    <w:rsid w:val="00780D51"/>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170"/>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0D4"/>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5C2"/>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5FC1"/>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162"/>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827"/>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5ECD"/>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3DC0"/>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AF4"/>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2EF"/>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6A5"/>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2C59"/>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A73"/>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0B67"/>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78"/>
    <w:rsid w:val="00AD31C0"/>
    <w:rsid w:val="00AD3378"/>
    <w:rsid w:val="00AD33A9"/>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5C9F"/>
    <w:rsid w:val="00B060FC"/>
    <w:rsid w:val="00B061BA"/>
    <w:rsid w:val="00B0658C"/>
    <w:rsid w:val="00B06C77"/>
    <w:rsid w:val="00B0705E"/>
    <w:rsid w:val="00B07373"/>
    <w:rsid w:val="00B07493"/>
    <w:rsid w:val="00B07565"/>
    <w:rsid w:val="00B076B0"/>
    <w:rsid w:val="00B100C4"/>
    <w:rsid w:val="00B10A3C"/>
    <w:rsid w:val="00B10A8C"/>
    <w:rsid w:val="00B10B65"/>
    <w:rsid w:val="00B117F0"/>
    <w:rsid w:val="00B124E0"/>
    <w:rsid w:val="00B12F15"/>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5401"/>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44"/>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60"/>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843"/>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C02"/>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047"/>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2DCC"/>
    <w:rsid w:val="00D62F14"/>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3F91"/>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E67"/>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2FBE"/>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4C7"/>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57C11"/>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0A53"/>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D91"/>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3C6"/>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593212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509641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71428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243538">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6658824">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0DC9B-C6F9-4B03-A03E-6B776D4D6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292</TotalTime>
  <Pages>7</Pages>
  <Words>1320</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8830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20</cp:revision>
  <cp:lastPrinted>2010-01-07T15:23:00Z</cp:lastPrinted>
  <dcterms:created xsi:type="dcterms:W3CDTF">2020-10-22T15:38:00Z</dcterms:created>
  <dcterms:modified xsi:type="dcterms:W3CDTF">2020-10-23T17:35:00Z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